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4338" w14:textId="20B60FE8" w:rsidR="008B0E66" w:rsidRPr="00F1446C" w:rsidRDefault="008B0E66" w:rsidP="008908CD">
      <w:pPr>
        <w:spacing w:after="0" w:line="240" w:lineRule="auto"/>
        <w:jc w:val="center"/>
        <w:rPr>
          <w:rFonts w:cstheme="minorHAnsi"/>
          <w:b/>
          <w:sz w:val="24"/>
        </w:rPr>
      </w:pPr>
      <w:bookmarkStart w:id="0" w:name="_Hlk74607340"/>
      <w:r w:rsidRPr="00F1446C">
        <w:rPr>
          <w:rFonts w:cstheme="minorHAnsi"/>
          <w:b/>
          <w:sz w:val="24"/>
        </w:rPr>
        <w:t>Dirección</w:t>
      </w:r>
      <w:r w:rsidR="00670182" w:rsidRPr="00F1446C">
        <w:rPr>
          <w:rFonts w:cstheme="minorHAnsi"/>
          <w:b/>
          <w:sz w:val="24"/>
        </w:rPr>
        <w:t xml:space="preserve"> </w:t>
      </w:r>
      <w:r w:rsidRPr="00F1446C">
        <w:rPr>
          <w:rFonts w:cstheme="minorHAnsi"/>
          <w:b/>
          <w:sz w:val="24"/>
        </w:rPr>
        <w:t>General</w:t>
      </w:r>
      <w:r w:rsidR="00670182" w:rsidRPr="00F1446C">
        <w:rPr>
          <w:rFonts w:cstheme="minorHAnsi"/>
          <w:b/>
          <w:sz w:val="24"/>
        </w:rPr>
        <w:t xml:space="preserve"> </w:t>
      </w:r>
      <w:r w:rsidRPr="00F1446C">
        <w:rPr>
          <w:rFonts w:cstheme="minorHAnsi"/>
          <w:b/>
          <w:sz w:val="24"/>
        </w:rPr>
        <w:t>de</w:t>
      </w:r>
      <w:r w:rsidR="00670182" w:rsidRPr="00F1446C">
        <w:rPr>
          <w:rFonts w:cstheme="minorHAnsi"/>
          <w:b/>
          <w:sz w:val="24"/>
        </w:rPr>
        <w:t xml:space="preserve"> </w:t>
      </w:r>
      <w:r w:rsidRPr="00F1446C">
        <w:rPr>
          <w:rFonts w:cstheme="minorHAnsi"/>
          <w:b/>
          <w:sz w:val="24"/>
        </w:rPr>
        <w:t>Evaluación</w:t>
      </w:r>
      <w:r w:rsidR="00670182" w:rsidRPr="00F1446C">
        <w:rPr>
          <w:rFonts w:cstheme="minorHAnsi"/>
          <w:b/>
          <w:sz w:val="24"/>
        </w:rPr>
        <w:t xml:space="preserve"> </w:t>
      </w:r>
      <w:r w:rsidRPr="00F1446C">
        <w:rPr>
          <w:rFonts w:cstheme="minorHAnsi"/>
          <w:b/>
          <w:sz w:val="24"/>
        </w:rPr>
        <w:t>Institucional</w:t>
      </w:r>
    </w:p>
    <w:p w14:paraId="062C6F20" w14:textId="66D6E112" w:rsidR="008B0E66" w:rsidRPr="00F1446C" w:rsidRDefault="008B0E66" w:rsidP="008908CD">
      <w:pPr>
        <w:spacing w:after="0" w:line="240" w:lineRule="auto"/>
        <w:jc w:val="center"/>
        <w:rPr>
          <w:rFonts w:cstheme="minorHAnsi"/>
          <w:b/>
          <w:sz w:val="24"/>
        </w:rPr>
      </w:pPr>
      <w:r w:rsidRPr="00F1446C">
        <w:rPr>
          <w:rFonts w:cstheme="minorHAnsi"/>
          <w:b/>
          <w:sz w:val="24"/>
        </w:rPr>
        <w:t>Ciudad</w:t>
      </w:r>
      <w:r w:rsidR="00670182" w:rsidRPr="00F1446C">
        <w:rPr>
          <w:rFonts w:cstheme="minorHAnsi"/>
          <w:b/>
          <w:sz w:val="24"/>
        </w:rPr>
        <w:t xml:space="preserve"> </w:t>
      </w:r>
      <w:r w:rsidRPr="00F1446C">
        <w:rPr>
          <w:rFonts w:cstheme="minorHAnsi"/>
          <w:b/>
          <w:sz w:val="24"/>
        </w:rPr>
        <w:t>Universitaria,</w:t>
      </w:r>
      <w:r w:rsidR="00670182" w:rsidRPr="00F1446C">
        <w:rPr>
          <w:rFonts w:cstheme="minorHAnsi"/>
          <w:b/>
          <w:sz w:val="24"/>
        </w:rPr>
        <w:t xml:space="preserve"> </w:t>
      </w:r>
      <w:r w:rsidRPr="00F1446C">
        <w:rPr>
          <w:rFonts w:cstheme="minorHAnsi"/>
          <w:b/>
          <w:sz w:val="24"/>
        </w:rPr>
        <w:t>CDMX,</w:t>
      </w:r>
      <w:r w:rsidR="00670182" w:rsidRPr="00F1446C">
        <w:rPr>
          <w:rFonts w:cstheme="minorHAnsi"/>
          <w:b/>
          <w:sz w:val="24"/>
        </w:rPr>
        <w:t xml:space="preserve"> </w:t>
      </w:r>
      <w:r w:rsidR="007C62D6" w:rsidRPr="00F1446C">
        <w:rPr>
          <w:rFonts w:cstheme="minorHAnsi"/>
          <w:b/>
          <w:sz w:val="24"/>
        </w:rPr>
        <w:t>20</w:t>
      </w:r>
      <w:r w:rsidR="00670182" w:rsidRPr="00F1446C">
        <w:rPr>
          <w:rFonts w:cstheme="minorHAnsi"/>
          <w:b/>
          <w:sz w:val="24"/>
        </w:rPr>
        <w:t xml:space="preserve"> </w:t>
      </w:r>
      <w:r w:rsidRPr="00F1446C">
        <w:rPr>
          <w:rFonts w:cstheme="minorHAnsi"/>
          <w:b/>
          <w:sz w:val="24"/>
        </w:rPr>
        <w:t>de</w:t>
      </w:r>
      <w:r w:rsidR="00670182" w:rsidRPr="00F1446C">
        <w:rPr>
          <w:rFonts w:cstheme="minorHAnsi"/>
          <w:b/>
          <w:sz w:val="24"/>
        </w:rPr>
        <w:t xml:space="preserve"> </w:t>
      </w:r>
      <w:r w:rsidR="00372E98" w:rsidRPr="00F1446C">
        <w:rPr>
          <w:rFonts w:cstheme="minorHAnsi"/>
          <w:b/>
          <w:sz w:val="24"/>
        </w:rPr>
        <w:t>agosto</w:t>
      </w:r>
      <w:r w:rsidR="00670182" w:rsidRPr="00F1446C">
        <w:rPr>
          <w:rFonts w:cstheme="minorHAnsi"/>
          <w:b/>
          <w:sz w:val="24"/>
        </w:rPr>
        <w:t xml:space="preserve"> </w:t>
      </w:r>
      <w:r w:rsidRPr="00F1446C">
        <w:rPr>
          <w:rFonts w:cstheme="minorHAnsi"/>
          <w:b/>
          <w:sz w:val="24"/>
        </w:rPr>
        <w:t>de</w:t>
      </w:r>
      <w:r w:rsidR="00670182" w:rsidRPr="00F1446C">
        <w:rPr>
          <w:rFonts w:cstheme="minorHAnsi"/>
          <w:b/>
          <w:sz w:val="24"/>
        </w:rPr>
        <w:t xml:space="preserve"> </w:t>
      </w:r>
      <w:r w:rsidRPr="00F1446C">
        <w:rPr>
          <w:rFonts w:cstheme="minorHAnsi"/>
          <w:b/>
          <w:sz w:val="24"/>
        </w:rPr>
        <w:t>2021</w:t>
      </w:r>
    </w:p>
    <w:p w14:paraId="581F9C83" w14:textId="77777777" w:rsidR="000F375D" w:rsidRPr="00F1446C" w:rsidRDefault="000F375D" w:rsidP="008908CD">
      <w:pPr>
        <w:spacing w:after="0" w:line="240" w:lineRule="auto"/>
        <w:rPr>
          <w:sz w:val="24"/>
        </w:rPr>
      </w:pPr>
    </w:p>
    <w:p w14:paraId="6EC69DEF" w14:textId="08B8DE3B" w:rsidR="00425419" w:rsidRPr="00BA270A" w:rsidRDefault="00B75C1E" w:rsidP="008908CD">
      <w:pPr>
        <w:spacing w:after="0" w:line="240" w:lineRule="auto"/>
        <w:jc w:val="center"/>
        <w:rPr>
          <w:b/>
          <w:sz w:val="28"/>
          <w:szCs w:val="28"/>
          <w:lang w:val="en-US"/>
        </w:rPr>
      </w:pPr>
      <w:r w:rsidRPr="00BA270A">
        <w:rPr>
          <w:b/>
          <w:sz w:val="28"/>
          <w:szCs w:val="28"/>
          <w:lang w:val="en-US"/>
        </w:rPr>
        <w:t xml:space="preserve">LA </w:t>
      </w:r>
      <w:r w:rsidR="009B2F1D" w:rsidRPr="00BA270A">
        <w:rPr>
          <w:b/>
          <w:sz w:val="28"/>
          <w:szCs w:val="28"/>
          <w:lang w:val="en-US"/>
        </w:rPr>
        <w:t>UNAM</w:t>
      </w:r>
      <w:r w:rsidR="00670182" w:rsidRPr="00BA270A">
        <w:rPr>
          <w:b/>
          <w:sz w:val="28"/>
          <w:szCs w:val="28"/>
          <w:lang w:val="en-US"/>
        </w:rPr>
        <w:t xml:space="preserve"> </w:t>
      </w:r>
      <w:r w:rsidR="009B2F1D" w:rsidRPr="00BA270A">
        <w:rPr>
          <w:b/>
          <w:sz w:val="28"/>
          <w:szCs w:val="28"/>
          <w:lang w:val="en-US"/>
        </w:rPr>
        <w:t>EN</w:t>
      </w:r>
      <w:r w:rsidR="00670182" w:rsidRPr="00BA270A">
        <w:rPr>
          <w:b/>
          <w:sz w:val="28"/>
          <w:szCs w:val="28"/>
          <w:lang w:val="en-US"/>
        </w:rPr>
        <w:t xml:space="preserve"> </w:t>
      </w:r>
      <w:r w:rsidRPr="00BA270A">
        <w:rPr>
          <w:b/>
          <w:sz w:val="28"/>
          <w:szCs w:val="28"/>
          <w:lang w:val="en-US"/>
        </w:rPr>
        <w:t xml:space="preserve">EL </w:t>
      </w:r>
      <w:r w:rsidR="00425419" w:rsidRPr="00F1446C">
        <w:rPr>
          <w:b/>
          <w:sz w:val="28"/>
          <w:szCs w:val="28"/>
          <w:lang w:val="en-US"/>
        </w:rPr>
        <w:t>ACADEMIC RANKING OF WORLD UNIVERSITIES (ARWU)</w:t>
      </w:r>
    </w:p>
    <w:p w14:paraId="5BC68814" w14:textId="77777777" w:rsidR="000F375D" w:rsidRPr="00BA270A" w:rsidRDefault="000F375D" w:rsidP="008908CD">
      <w:pPr>
        <w:spacing w:after="0" w:line="240" w:lineRule="auto"/>
        <w:rPr>
          <w:sz w:val="24"/>
          <w:lang w:val="en-US"/>
        </w:rPr>
      </w:pPr>
    </w:p>
    <w:p w14:paraId="096EDDD2" w14:textId="77777777" w:rsidR="008B0E66" w:rsidRPr="00F1446C" w:rsidRDefault="008B0E66" w:rsidP="008908CD">
      <w:pPr>
        <w:spacing w:after="0" w:line="240" w:lineRule="auto"/>
        <w:jc w:val="both"/>
        <w:rPr>
          <w:b/>
          <w:bCs/>
          <w:sz w:val="24"/>
        </w:rPr>
      </w:pPr>
      <w:r w:rsidRPr="00F1446C">
        <w:rPr>
          <w:b/>
          <w:bCs/>
          <w:sz w:val="24"/>
        </w:rPr>
        <w:t>Resumen</w:t>
      </w:r>
    </w:p>
    <w:p w14:paraId="3DC78C16" w14:textId="2B422CF4" w:rsidR="00B7102D" w:rsidRPr="00F1446C" w:rsidRDefault="00425419" w:rsidP="00EF1574">
      <w:pPr>
        <w:spacing w:after="0" w:line="240" w:lineRule="auto"/>
        <w:jc w:val="both"/>
        <w:rPr>
          <w:sz w:val="24"/>
          <w:szCs w:val="24"/>
        </w:rPr>
      </w:pPr>
      <w:r w:rsidRPr="00F1446C">
        <w:rPr>
          <w:sz w:val="24"/>
        </w:rPr>
        <w:t xml:space="preserve">La Consultoría del Ranking Shanghái </w:t>
      </w:r>
      <w:r w:rsidR="00D04599" w:rsidRPr="00F1446C">
        <w:rPr>
          <w:sz w:val="24"/>
        </w:rPr>
        <w:t>publicó</w:t>
      </w:r>
      <w:r w:rsidR="00670182" w:rsidRPr="00F1446C">
        <w:rPr>
          <w:sz w:val="24"/>
        </w:rPr>
        <w:t xml:space="preserve"> </w:t>
      </w:r>
      <w:r w:rsidR="00D04599" w:rsidRPr="00F1446C">
        <w:rPr>
          <w:sz w:val="24"/>
        </w:rPr>
        <w:t>los</w:t>
      </w:r>
      <w:r w:rsidR="00670182" w:rsidRPr="00F1446C">
        <w:rPr>
          <w:sz w:val="24"/>
        </w:rPr>
        <w:t xml:space="preserve"> </w:t>
      </w:r>
      <w:r w:rsidR="00D04599" w:rsidRPr="00F1446C">
        <w:rPr>
          <w:sz w:val="24"/>
        </w:rPr>
        <w:t>resultados</w:t>
      </w:r>
      <w:r w:rsidR="00670182" w:rsidRPr="00F1446C">
        <w:rPr>
          <w:sz w:val="24"/>
        </w:rPr>
        <w:t xml:space="preserve"> </w:t>
      </w:r>
      <w:r w:rsidR="00D04599" w:rsidRPr="00F1446C">
        <w:rPr>
          <w:sz w:val="24"/>
        </w:rPr>
        <w:t>del</w:t>
      </w:r>
      <w:r w:rsidR="00670182" w:rsidRPr="00F1446C">
        <w:rPr>
          <w:sz w:val="24"/>
        </w:rPr>
        <w:t xml:space="preserve"> </w:t>
      </w:r>
      <w:r w:rsidRPr="00F1446C">
        <w:rPr>
          <w:b/>
          <w:bCs/>
          <w:sz w:val="24"/>
        </w:rPr>
        <w:t xml:space="preserve">Academic Ranking of World Universities (ARWU) 2021 </w:t>
      </w:r>
      <w:r w:rsidR="00EF6661" w:rsidRPr="00F1446C">
        <w:rPr>
          <w:sz w:val="24"/>
        </w:rPr>
        <w:t>donde</w:t>
      </w:r>
      <w:r w:rsidR="00670182" w:rsidRPr="00F1446C">
        <w:rPr>
          <w:sz w:val="24"/>
        </w:rPr>
        <w:t xml:space="preserve"> </w:t>
      </w:r>
      <w:r w:rsidR="00EF6661" w:rsidRPr="00F1446C">
        <w:rPr>
          <w:sz w:val="24"/>
        </w:rPr>
        <w:t>la</w:t>
      </w:r>
      <w:r w:rsidR="00670182" w:rsidRPr="00F1446C">
        <w:rPr>
          <w:sz w:val="24"/>
        </w:rPr>
        <w:t xml:space="preserve"> </w:t>
      </w:r>
      <w:r w:rsidR="00EF6661" w:rsidRPr="00F1446C">
        <w:rPr>
          <w:sz w:val="24"/>
        </w:rPr>
        <w:t>UNAM</w:t>
      </w:r>
      <w:r w:rsidR="00670182" w:rsidRPr="00F1446C">
        <w:rPr>
          <w:sz w:val="24"/>
        </w:rPr>
        <w:t xml:space="preserve"> </w:t>
      </w:r>
      <w:r w:rsidR="00EF6661" w:rsidRPr="00F1446C">
        <w:rPr>
          <w:sz w:val="24"/>
        </w:rPr>
        <w:t>fue</w:t>
      </w:r>
      <w:r w:rsidR="00670182" w:rsidRPr="00F1446C">
        <w:rPr>
          <w:sz w:val="24"/>
        </w:rPr>
        <w:t xml:space="preserve"> </w:t>
      </w:r>
      <w:r w:rsidR="00EF6661" w:rsidRPr="00F1446C">
        <w:rPr>
          <w:sz w:val="24"/>
        </w:rPr>
        <w:t>clasificada</w:t>
      </w:r>
      <w:r w:rsidR="00670182" w:rsidRPr="00F1446C">
        <w:rPr>
          <w:sz w:val="24"/>
        </w:rPr>
        <w:t xml:space="preserve"> </w:t>
      </w:r>
      <w:r w:rsidR="00460F34" w:rsidRPr="00F1446C">
        <w:rPr>
          <w:b/>
          <w:bCs/>
          <w:sz w:val="24"/>
        </w:rPr>
        <w:t>en el rango 201-300</w:t>
      </w:r>
      <w:r w:rsidR="006C70F9">
        <w:rPr>
          <w:b/>
          <w:bCs/>
          <w:sz w:val="24"/>
        </w:rPr>
        <w:t>, ubicándose en la segunda mejor posición de América Latina y la cuarta de Iberoamérica</w:t>
      </w:r>
      <w:r w:rsidR="00460F34" w:rsidRPr="00F1446C">
        <w:rPr>
          <w:b/>
          <w:bCs/>
          <w:sz w:val="24"/>
        </w:rPr>
        <w:t xml:space="preserve">. </w:t>
      </w:r>
      <w:r w:rsidR="00EF1574" w:rsidRPr="00F1446C">
        <w:rPr>
          <w:sz w:val="24"/>
          <w:szCs w:val="24"/>
        </w:rPr>
        <w:t>La Dirección General de Evaluación Institucional (DGEI-UNAM) estimó la posición de las universidades al calcular el puntaje total obtenido en cada indicador, y su respectiva ponderación en los diferentes indicadores</w:t>
      </w:r>
      <w:r w:rsidR="008E7B55">
        <w:rPr>
          <w:sz w:val="24"/>
          <w:szCs w:val="24"/>
        </w:rPr>
        <w:t>. C</w:t>
      </w:r>
      <w:r w:rsidR="00EF1574" w:rsidRPr="00F1446C">
        <w:rPr>
          <w:sz w:val="24"/>
          <w:szCs w:val="24"/>
        </w:rPr>
        <w:t xml:space="preserve">onforme a dicho calculo </w:t>
      </w:r>
      <w:r w:rsidR="00460F34" w:rsidRPr="00F1446C">
        <w:rPr>
          <w:sz w:val="24"/>
        </w:rPr>
        <w:t xml:space="preserve">a la UNAM le corresponde </w:t>
      </w:r>
      <w:r w:rsidR="00460F34" w:rsidRPr="00F1446C">
        <w:rPr>
          <w:b/>
          <w:bCs/>
          <w:sz w:val="24"/>
        </w:rPr>
        <w:t xml:space="preserve">la posición </w:t>
      </w:r>
      <w:r w:rsidR="001609FF" w:rsidRPr="00F1446C">
        <w:rPr>
          <w:b/>
          <w:bCs/>
          <w:sz w:val="24"/>
        </w:rPr>
        <w:t>253</w:t>
      </w:r>
      <w:r w:rsidR="00716C65" w:rsidRPr="00F1446C">
        <w:rPr>
          <w:sz w:val="24"/>
        </w:rPr>
        <w:t xml:space="preserve">, </w:t>
      </w:r>
      <w:r w:rsidR="00A212B4">
        <w:rPr>
          <w:sz w:val="24"/>
        </w:rPr>
        <w:t>con lo cual</w:t>
      </w:r>
      <w:r w:rsidR="00413B2A">
        <w:rPr>
          <w:sz w:val="24"/>
        </w:rPr>
        <w:t xml:space="preserve"> </w:t>
      </w:r>
      <w:r w:rsidR="00A212B4">
        <w:rPr>
          <w:sz w:val="24"/>
        </w:rPr>
        <w:t xml:space="preserve">presentó un </w:t>
      </w:r>
      <w:r w:rsidR="00A212B4" w:rsidRPr="00FE0175">
        <w:rPr>
          <w:sz w:val="24"/>
          <w:szCs w:val="24"/>
        </w:rPr>
        <w:t xml:space="preserve">decremento de </w:t>
      </w:r>
      <w:r w:rsidR="00A212B4">
        <w:rPr>
          <w:sz w:val="24"/>
          <w:szCs w:val="24"/>
        </w:rPr>
        <w:t>6</w:t>
      </w:r>
      <w:r w:rsidR="00A212B4" w:rsidRPr="00FE0175">
        <w:rPr>
          <w:sz w:val="24"/>
          <w:szCs w:val="24"/>
        </w:rPr>
        <w:t xml:space="preserve"> lugares </w:t>
      </w:r>
      <w:r w:rsidR="00413B2A">
        <w:rPr>
          <w:sz w:val="24"/>
          <w:szCs w:val="24"/>
        </w:rPr>
        <w:t>con respecto al 2020</w:t>
      </w:r>
      <w:r w:rsidR="00A212B4">
        <w:rPr>
          <w:sz w:val="24"/>
          <w:szCs w:val="24"/>
        </w:rPr>
        <w:t>.</w:t>
      </w:r>
      <w:r w:rsidR="00A212B4" w:rsidRPr="00FE0175">
        <w:rPr>
          <w:sz w:val="24"/>
        </w:rPr>
        <w:t xml:space="preserve"> El </w:t>
      </w:r>
      <w:r w:rsidR="00716C65" w:rsidRPr="00F1446C">
        <w:rPr>
          <w:sz w:val="24"/>
        </w:rPr>
        <w:t xml:space="preserve">desempeño de </w:t>
      </w:r>
      <w:r w:rsidR="00A212B4" w:rsidRPr="00FE0175">
        <w:rPr>
          <w:sz w:val="24"/>
        </w:rPr>
        <w:t xml:space="preserve">la UNAM </w:t>
      </w:r>
      <w:r w:rsidR="00A212B4">
        <w:rPr>
          <w:sz w:val="24"/>
        </w:rPr>
        <w:t xml:space="preserve">en los indicadores es de </w:t>
      </w:r>
      <w:r w:rsidR="00716C65" w:rsidRPr="00F1446C">
        <w:rPr>
          <w:sz w:val="24"/>
        </w:rPr>
        <w:t xml:space="preserve">11.9 puntos en </w:t>
      </w:r>
      <w:r w:rsidR="00716C65" w:rsidRPr="00F1446C">
        <w:rPr>
          <w:b/>
          <w:bCs/>
          <w:sz w:val="24"/>
        </w:rPr>
        <w:t>Alumni</w:t>
      </w:r>
      <w:r w:rsidR="00716C65" w:rsidRPr="00F1446C">
        <w:rPr>
          <w:sz w:val="24"/>
        </w:rPr>
        <w:t xml:space="preserve">, 11.4 puntos en </w:t>
      </w:r>
      <w:r w:rsidR="00716C65" w:rsidRPr="00F1446C">
        <w:rPr>
          <w:b/>
          <w:bCs/>
          <w:sz w:val="24"/>
        </w:rPr>
        <w:t>N&amp;S</w:t>
      </w:r>
      <w:r w:rsidR="00716C65" w:rsidRPr="00F1446C">
        <w:rPr>
          <w:sz w:val="24"/>
        </w:rPr>
        <w:t xml:space="preserve">, 53.9 puntos en </w:t>
      </w:r>
      <w:r w:rsidR="00716C65" w:rsidRPr="00F1446C">
        <w:rPr>
          <w:b/>
          <w:bCs/>
          <w:sz w:val="24"/>
        </w:rPr>
        <w:t>PUB</w:t>
      </w:r>
      <w:r w:rsidR="00716C65" w:rsidRPr="00F1446C">
        <w:rPr>
          <w:sz w:val="24"/>
        </w:rPr>
        <w:t xml:space="preserve">, y 22.1 puntos en </w:t>
      </w:r>
      <w:r w:rsidR="00716C65" w:rsidRPr="00F1446C">
        <w:rPr>
          <w:b/>
          <w:bCs/>
          <w:sz w:val="24"/>
        </w:rPr>
        <w:t>PCP</w:t>
      </w:r>
      <w:r w:rsidR="00B7102D" w:rsidRPr="00F1446C">
        <w:rPr>
          <w:sz w:val="24"/>
        </w:rPr>
        <w:t xml:space="preserve">. Sin embargo, se obtuvo un puntaje de 0 puntos en los indicadores de </w:t>
      </w:r>
      <w:r w:rsidR="00B7102D" w:rsidRPr="00F1446C">
        <w:rPr>
          <w:b/>
          <w:bCs/>
          <w:sz w:val="24"/>
        </w:rPr>
        <w:t>Award</w:t>
      </w:r>
      <w:r w:rsidR="00B7102D" w:rsidRPr="00F1446C">
        <w:rPr>
          <w:sz w:val="24"/>
        </w:rPr>
        <w:t xml:space="preserve"> y </w:t>
      </w:r>
      <w:r w:rsidR="00B7102D" w:rsidRPr="00F1446C">
        <w:rPr>
          <w:b/>
          <w:bCs/>
          <w:sz w:val="24"/>
        </w:rPr>
        <w:t>HiCi</w:t>
      </w:r>
      <w:r w:rsidR="00B7102D" w:rsidRPr="00F1446C">
        <w:rPr>
          <w:sz w:val="24"/>
        </w:rPr>
        <w:t xml:space="preserve">. </w:t>
      </w:r>
      <w:r w:rsidR="00660B30" w:rsidRPr="00F1446C">
        <w:rPr>
          <w:sz w:val="24"/>
          <w:szCs w:val="24"/>
        </w:rPr>
        <w:t xml:space="preserve">Las instituciones mejor posicionadas en </w:t>
      </w:r>
      <w:r w:rsidR="008E7B55">
        <w:rPr>
          <w:sz w:val="24"/>
          <w:szCs w:val="24"/>
        </w:rPr>
        <w:t>Iberoamérica</w:t>
      </w:r>
      <w:r w:rsidR="00660B30" w:rsidRPr="00F1446C">
        <w:rPr>
          <w:sz w:val="24"/>
          <w:szCs w:val="24"/>
        </w:rPr>
        <w:t xml:space="preserve"> fueron: </w:t>
      </w:r>
      <w:r w:rsidR="00B7102D" w:rsidRPr="00F1446C">
        <w:rPr>
          <w:sz w:val="24"/>
          <w:szCs w:val="24"/>
        </w:rPr>
        <w:t xml:space="preserve">La Universidad de São Paulo (118º Mundial, </w:t>
      </w:r>
      <w:r w:rsidR="006C70F9">
        <w:rPr>
          <w:sz w:val="24"/>
          <w:szCs w:val="24"/>
        </w:rPr>
        <w:t xml:space="preserve">1º Iberoamérica, </w:t>
      </w:r>
      <w:r w:rsidR="006C70F9" w:rsidRPr="00F1446C">
        <w:rPr>
          <w:sz w:val="24"/>
          <w:szCs w:val="24"/>
        </w:rPr>
        <w:t>1º América Latina</w:t>
      </w:r>
      <w:r w:rsidR="00B7102D" w:rsidRPr="00F1446C">
        <w:rPr>
          <w:sz w:val="24"/>
          <w:szCs w:val="24"/>
        </w:rPr>
        <w:t xml:space="preserve">), la Universidad de Barcelona (181º Mundial, 2º </w:t>
      </w:r>
      <w:r w:rsidR="008E7B55">
        <w:rPr>
          <w:sz w:val="24"/>
          <w:szCs w:val="24"/>
        </w:rPr>
        <w:t>Iberoamérica</w:t>
      </w:r>
      <w:r w:rsidR="00B7102D" w:rsidRPr="00F1446C">
        <w:rPr>
          <w:sz w:val="24"/>
          <w:szCs w:val="24"/>
        </w:rPr>
        <w:t xml:space="preserve">), y la Universidad de Lisboa (208º Mundial, 3º </w:t>
      </w:r>
      <w:r w:rsidR="008E7B55">
        <w:rPr>
          <w:sz w:val="24"/>
          <w:szCs w:val="24"/>
        </w:rPr>
        <w:t>Iberoamérica</w:t>
      </w:r>
      <w:r w:rsidR="00B7102D" w:rsidRPr="00F1446C">
        <w:rPr>
          <w:sz w:val="24"/>
          <w:szCs w:val="24"/>
        </w:rPr>
        <w:t>).</w:t>
      </w:r>
    </w:p>
    <w:p w14:paraId="48CB644D" w14:textId="77777777" w:rsidR="00667012" w:rsidRPr="00F1446C" w:rsidRDefault="00667012" w:rsidP="008908CD">
      <w:pPr>
        <w:spacing w:after="0" w:line="240" w:lineRule="auto"/>
        <w:jc w:val="both"/>
        <w:rPr>
          <w:sz w:val="24"/>
          <w:szCs w:val="24"/>
        </w:rPr>
      </w:pPr>
    </w:p>
    <w:p w14:paraId="7C544E1E" w14:textId="2A457B45" w:rsidR="00967BA9" w:rsidRPr="00F1446C" w:rsidRDefault="00967BA9" w:rsidP="008908CD">
      <w:pPr>
        <w:pStyle w:val="ListParagraph"/>
        <w:spacing w:after="0" w:line="240" w:lineRule="auto"/>
        <w:ind w:left="0"/>
        <w:jc w:val="both"/>
        <w:rPr>
          <w:b/>
          <w:sz w:val="24"/>
        </w:rPr>
      </w:pPr>
      <w:r w:rsidRPr="00F1446C">
        <w:rPr>
          <w:b/>
          <w:sz w:val="24"/>
        </w:rPr>
        <w:t>Metodología</w:t>
      </w:r>
      <w:r w:rsidR="00670182" w:rsidRPr="00F1446C">
        <w:rPr>
          <w:b/>
          <w:sz w:val="24"/>
        </w:rPr>
        <w:t xml:space="preserve"> </w:t>
      </w:r>
      <w:r w:rsidRPr="00F1446C">
        <w:rPr>
          <w:b/>
          <w:sz w:val="24"/>
        </w:rPr>
        <w:t>e</w:t>
      </w:r>
      <w:r w:rsidR="00670182" w:rsidRPr="00F1446C">
        <w:rPr>
          <w:b/>
          <w:sz w:val="24"/>
        </w:rPr>
        <w:t xml:space="preserve"> </w:t>
      </w:r>
      <w:r w:rsidRPr="00F1446C">
        <w:rPr>
          <w:b/>
          <w:sz w:val="24"/>
        </w:rPr>
        <w:t>Indicadores</w:t>
      </w:r>
    </w:p>
    <w:p w14:paraId="6307BBEF" w14:textId="1C705990" w:rsidR="00127A4E" w:rsidRPr="00F1446C" w:rsidRDefault="00127A4E" w:rsidP="00127A4E">
      <w:pPr>
        <w:pStyle w:val="ListParagraph"/>
        <w:spacing w:after="0" w:line="240" w:lineRule="auto"/>
        <w:ind w:left="0"/>
        <w:jc w:val="both"/>
        <w:rPr>
          <w:sz w:val="24"/>
        </w:rPr>
      </w:pPr>
      <w:r w:rsidRPr="00F1446C">
        <w:rPr>
          <w:sz w:val="24"/>
        </w:rPr>
        <w:t xml:space="preserve">El </w:t>
      </w:r>
      <w:r w:rsidRPr="00F1446C">
        <w:rPr>
          <w:bCs/>
          <w:sz w:val="24"/>
        </w:rPr>
        <w:t>ranking</w:t>
      </w:r>
      <w:r w:rsidRPr="00F1446C">
        <w:rPr>
          <w:sz w:val="24"/>
        </w:rPr>
        <w:t xml:space="preserve"> ARWU evalúa a todas las universidades con </w:t>
      </w:r>
      <w:r w:rsidR="00055756">
        <w:rPr>
          <w:sz w:val="24"/>
        </w:rPr>
        <w:t xml:space="preserve">alumnos y académicos ganadores de Premio </w:t>
      </w:r>
      <w:r w:rsidRPr="00F1446C">
        <w:rPr>
          <w:sz w:val="24"/>
        </w:rPr>
        <w:t xml:space="preserve">Nobel, Medalla Fields, </w:t>
      </w:r>
      <w:r w:rsidR="00055756">
        <w:rPr>
          <w:sz w:val="24"/>
        </w:rPr>
        <w:t xml:space="preserve">e </w:t>
      </w:r>
      <w:r w:rsidRPr="00F1446C">
        <w:rPr>
          <w:sz w:val="24"/>
        </w:rPr>
        <w:t xml:space="preserve">investigadores altamente citados en el </w:t>
      </w:r>
      <w:r w:rsidR="006C70F9">
        <w:rPr>
          <w:sz w:val="24"/>
        </w:rPr>
        <w:t>índice del</w:t>
      </w:r>
      <w:r w:rsidRPr="00F1446C">
        <w:rPr>
          <w:sz w:val="24"/>
        </w:rPr>
        <w:t xml:space="preserve"> ISI Web of Science</w:t>
      </w:r>
      <w:r w:rsidR="00055756">
        <w:rPr>
          <w:sz w:val="24"/>
        </w:rPr>
        <w:t>,</w:t>
      </w:r>
      <w:r w:rsidRPr="00F1446C">
        <w:rPr>
          <w:sz w:val="24"/>
        </w:rPr>
        <w:t xml:space="preserve"> y/o artículos publicados en las revistas </w:t>
      </w:r>
      <w:r w:rsidRPr="00055756">
        <w:rPr>
          <w:i/>
          <w:iCs/>
          <w:sz w:val="24"/>
        </w:rPr>
        <w:t>Nature</w:t>
      </w:r>
      <w:r w:rsidRPr="00F1446C">
        <w:rPr>
          <w:sz w:val="24"/>
        </w:rPr>
        <w:t xml:space="preserve"> y </w:t>
      </w:r>
      <w:r w:rsidRPr="00055756">
        <w:rPr>
          <w:i/>
          <w:iCs/>
          <w:sz w:val="24"/>
        </w:rPr>
        <w:t>Science</w:t>
      </w:r>
      <w:r w:rsidRPr="00F1446C">
        <w:rPr>
          <w:sz w:val="24"/>
        </w:rPr>
        <w:t xml:space="preserve">. También se incluyen universidades con un volumen significativo de artículos indexados por </w:t>
      </w:r>
      <w:r w:rsidR="00A74B58">
        <w:rPr>
          <w:sz w:val="24"/>
        </w:rPr>
        <w:t xml:space="preserve">el </w:t>
      </w:r>
      <w:r w:rsidRPr="00F1446C">
        <w:rPr>
          <w:sz w:val="24"/>
        </w:rPr>
        <w:t xml:space="preserve">Science Citation Index-Expanded (SCIE) y </w:t>
      </w:r>
      <w:r w:rsidR="00A74B58">
        <w:rPr>
          <w:sz w:val="24"/>
        </w:rPr>
        <w:t xml:space="preserve">el </w:t>
      </w:r>
      <w:r w:rsidRPr="00F1446C">
        <w:rPr>
          <w:sz w:val="24"/>
        </w:rPr>
        <w:t xml:space="preserve">Social Science Citation Index (SSCI). </w:t>
      </w:r>
    </w:p>
    <w:p w14:paraId="3AC1B623" w14:textId="77777777" w:rsidR="00127A4E" w:rsidRPr="00F1446C" w:rsidRDefault="00127A4E" w:rsidP="00127A4E">
      <w:pPr>
        <w:pStyle w:val="ListParagraph"/>
        <w:spacing w:after="0" w:line="240" w:lineRule="auto"/>
        <w:ind w:left="0"/>
        <w:jc w:val="both"/>
        <w:rPr>
          <w:sz w:val="24"/>
        </w:rPr>
      </w:pPr>
    </w:p>
    <w:tbl>
      <w:tblPr>
        <w:tblW w:w="10989" w:type="dxa"/>
        <w:jc w:val="center"/>
        <w:tblCellMar>
          <w:left w:w="70" w:type="dxa"/>
          <w:right w:w="70" w:type="dxa"/>
        </w:tblCellMar>
        <w:tblLook w:val="04A0" w:firstRow="1" w:lastRow="0" w:firstColumn="1" w:lastColumn="0" w:noHBand="0" w:noVBand="1"/>
      </w:tblPr>
      <w:tblGrid>
        <w:gridCol w:w="1314"/>
        <w:gridCol w:w="8512"/>
        <w:gridCol w:w="1163"/>
      </w:tblGrid>
      <w:tr w:rsidR="00127A4E" w:rsidRPr="00F1446C" w14:paraId="5C0A3955" w14:textId="77777777" w:rsidTr="00530169">
        <w:trPr>
          <w:trHeight w:val="120"/>
          <w:jc w:val="center"/>
        </w:trPr>
        <w:tc>
          <w:tcPr>
            <w:tcW w:w="10989" w:type="dxa"/>
            <w:gridSpan w:val="3"/>
            <w:tcBorders>
              <w:bottom w:val="single" w:sz="4" w:space="0" w:color="auto"/>
            </w:tcBorders>
            <w:shd w:val="clear" w:color="auto" w:fill="auto"/>
            <w:noWrap/>
            <w:vAlign w:val="center"/>
          </w:tcPr>
          <w:p w14:paraId="49019050" w14:textId="322DE783" w:rsidR="00127A4E" w:rsidRPr="00F1446C" w:rsidRDefault="00127A4E" w:rsidP="006904AD">
            <w:pPr>
              <w:spacing w:after="0" w:line="240" w:lineRule="auto"/>
              <w:jc w:val="center"/>
              <w:rPr>
                <w:b/>
                <w:sz w:val="18"/>
                <w:szCs w:val="20"/>
              </w:rPr>
            </w:pPr>
            <w:r w:rsidRPr="00F1446C">
              <w:rPr>
                <w:rFonts w:ascii="Calibri" w:eastAsia="Times New Roman" w:hAnsi="Calibri" w:cs="Calibri"/>
                <w:b/>
                <w:bCs/>
                <w:color w:val="000000"/>
                <w:sz w:val="20"/>
                <w:szCs w:val="18"/>
                <w:lang w:eastAsia="es-MX"/>
              </w:rPr>
              <w:t>Tabla 1. Metodología e indicadores</w:t>
            </w:r>
          </w:p>
        </w:tc>
      </w:tr>
      <w:tr w:rsidR="00127A4E" w:rsidRPr="00F1446C" w14:paraId="02C75FD7" w14:textId="77777777" w:rsidTr="00530169">
        <w:trPr>
          <w:trHeight w:val="120"/>
          <w:jc w:val="center"/>
        </w:trPr>
        <w:tc>
          <w:tcPr>
            <w:tcW w:w="1314" w:type="dxa"/>
            <w:tcBorders>
              <w:top w:val="single" w:sz="4" w:space="0" w:color="auto"/>
              <w:left w:val="single" w:sz="4" w:space="0" w:color="000000"/>
              <w:bottom w:val="single" w:sz="4" w:space="0" w:color="auto"/>
              <w:right w:val="single" w:sz="4" w:space="0" w:color="000000"/>
            </w:tcBorders>
            <w:shd w:val="clear" w:color="DEEAF6" w:fill="DEEAF6"/>
            <w:noWrap/>
            <w:vAlign w:val="center"/>
            <w:hideMark/>
          </w:tcPr>
          <w:p w14:paraId="0EA3E3CE" w14:textId="77777777" w:rsidR="00127A4E" w:rsidRPr="00F1446C" w:rsidRDefault="00127A4E" w:rsidP="006904AD">
            <w:pPr>
              <w:spacing w:after="0" w:line="240" w:lineRule="auto"/>
              <w:jc w:val="center"/>
              <w:rPr>
                <w:b/>
                <w:sz w:val="20"/>
                <w:szCs w:val="20"/>
              </w:rPr>
            </w:pPr>
            <w:r w:rsidRPr="00F1446C">
              <w:rPr>
                <w:b/>
                <w:sz w:val="20"/>
                <w:szCs w:val="20"/>
              </w:rPr>
              <w:t>Indicador</w:t>
            </w:r>
          </w:p>
        </w:tc>
        <w:tc>
          <w:tcPr>
            <w:tcW w:w="8512" w:type="dxa"/>
            <w:tcBorders>
              <w:top w:val="single" w:sz="4" w:space="0" w:color="auto"/>
              <w:left w:val="nil"/>
              <w:bottom w:val="single" w:sz="4" w:space="0" w:color="auto"/>
              <w:right w:val="single" w:sz="4" w:space="0" w:color="000000"/>
            </w:tcBorders>
            <w:shd w:val="clear" w:color="DEEAF6" w:fill="DEEAF6"/>
            <w:noWrap/>
            <w:vAlign w:val="center"/>
            <w:hideMark/>
          </w:tcPr>
          <w:p w14:paraId="406718F9" w14:textId="77777777" w:rsidR="00127A4E" w:rsidRPr="00F1446C" w:rsidRDefault="00127A4E" w:rsidP="006904AD">
            <w:pPr>
              <w:spacing w:after="0" w:line="240" w:lineRule="auto"/>
              <w:jc w:val="center"/>
              <w:rPr>
                <w:b/>
                <w:sz w:val="20"/>
                <w:szCs w:val="20"/>
              </w:rPr>
            </w:pPr>
            <w:r w:rsidRPr="00F1446C">
              <w:rPr>
                <w:b/>
                <w:sz w:val="20"/>
                <w:szCs w:val="20"/>
              </w:rPr>
              <w:t>Descripción</w:t>
            </w:r>
          </w:p>
        </w:tc>
        <w:tc>
          <w:tcPr>
            <w:tcW w:w="1163" w:type="dxa"/>
            <w:tcBorders>
              <w:top w:val="single" w:sz="4" w:space="0" w:color="auto"/>
              <w:left w:val="nil"/>
              <w:bottom w:val="single" w:sz="4" w:space="0" w:color="auto"/>
              <w:right w:val="single" w:sz="4" w:space="0" w:color="000000"/>
            </w:tcBorders>
            <w:shd w:val="clear" w:color="DEEAF6" w:fill="DEEAF6"/>
            <w:noWrap/>
            <w:vAlign w:val="center"/>
            <w:hideMark/>
          </w:tcPr>
          <w:p w14:paraId="4E35D8B4" w14:textId="77777777" w:rsidR="00127A4E" w:rsidRPr="00F1446C" w:rsidRDefault="00127A4E" w:rsidP="006904AD">
            <w:pPr>
              <w:spacing w:after="0" w:line="240" w:lineRule="auto"/>
              <w:jc w:val="center"/>
              <w:rPr>
                <w:b/>
                <w:sz w:val="20"/>
                <w:szCs w:val="20"/>
              </w:rPr>
            </w:pPr>
            <w:r w:rsidRPr="00F1446C">
              <w:rPr>
                <w:b/>
                <w:sz w:val="20"/>
                <w:szCs w:val="20"/>
              </w:rPr>
              <w:t>Ponderador</w:t>
            </w:r>
          </w:p>
        </w:tc>
      </w:tr>
      <w:tr w:rsidR="00127A4E" w:rsidRPr="00F1446C" w14:paraId="436749A3" w14:textId="77777777" w:rsidTr="00530169">
        <w:trPr>
          <w:trHeight w:val="438"/>
          <w:jc w:val="center"/>
        </w:trPr>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5B4648B" w14:textId="77777777" w:rsidR="00127A4E" w:rsidRPr="00F1446C" w:rsidRDefault="00127A4E" w:rsidP="006904AD">
            <w:pPr>
              <w:spacing w:after="0" w:line="240" w:lineRule="auto"/>
              <w:jc w:val="center"/>
              <w:rPr>
                <w:b/>
                <w:sz w:val="20"/>
                <w:szCs w:val="20"/>
              </w:rPr>
            </w:pPr>
            <w:r w:rsidRPr="00F1446C">
              <w:rPr>
                <w:b/>
                <w:sz w:val="20"/>
                <w:szCs w:val="20"/>
              </w:rPr>
              <w:t>Alumni</w:t>
            </w:r>
          </w:p>
        </w:tc>
        <w:tc>
          <w:tcPr>
            <w:tcW w:w="8512" w:type="dxa"/>
            <w:tcBorders>
              <w:top w:val="single" w:sz="4" w:space="0" w:color="auto"/>
              <w:left w:val="single" w:sz="4" w:space="0" w:color="auto"/>
              <w:bottom w:val="single" w:sz="4" w:space="0" w:color="auto"/>
              <w:right w:val="single" w:sz="4" w:space="0" w:color="auto"/>
            </w:tcBorders>
            <w:shd w:val="clear" w:color="auto" w:fill="auto"/>
            <w:vAlign w:val="center"/>
          </w:tcPr>
          <w:p w14:paraId="6481ED21" w14:textId="77777777" w:rsidR="00127A4E" w:rsidRPr="00F1446C" w:rsidRDefault="00127A4E" w:rsidP="006904AD">
            <w:pPr>
              <w:spacing w:after="0" w:line="240" w:lineRule="auto"/>
              <w:rPr>
                <w:sz w:val="20"/>
                <w:szCs w:val="20"/>
              </w:rPr>
            </w:pPr>
            <w:r w:rsidRPr="00F1446C">
              <w:rPr>
                <w:sz w:val="20"/>
                <w:szCs w:val="20"/>
              </w:rPr>
              <w:t>Alumnos de una institución ganadores de Premios Nobel y/o de la Medalla Fields (matemáticas).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7730A84" w14:textId="77777777" w:rsidR="00127A4E" w:rsidRPr="00F1446C" w:rsidRDefault="00127A4E" w:rsidP="006904AD">
            <w:pPr>
              <w:spacing w:after="0" w:line="240" w:lineRule="auto"/>
              <w:jc w:val="center"/>
              <w:rPr>
                <w:sz w:val="20"/>
                <w:szCs w:val="20"/>
              </w:rPr>
            </w:pPr>
            <w:r w:rsidRPr="00F1446C">
              <w:rPr>
                <w:sz w:val="20"/>
                <w:szCs w:val="20"/>
              </w:rPr>
              <w:t>10%</w:t>
            </w:r>
          </w:p>
        </w:tc>
      </w:tr>
      <w:tr w:rsidR="00127A4E" w:rsidRPr="00F1446C" w14:paraId="1FCDD315" w14:textId="77777777" w:rsidTr="00530169">
        <w:trPr>
          <w:trHeight w:val="438"/>
          <w:jc w:val="center"/>
        </w:trPr>
        <w:tc>
          <w:tcPr>
            <w:tcW w:w="13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80CA54" w14:textId="77777777" w:rsidR="00127A4E" w:rsidRPr="00F1446C" w:rsidRDefault="00127A4E" w:rsidP="006904AD">
            <w:pPr>
              <w:spacing w:after="0" w:line="240" w:lineRule="auto"/>
              <w:jc w:val="center"/>
              <w:rPr>
                <w:b/>
                <w:sz w:val="20"/>
                <w:szCs w:val="20"/>
              </w:rPr>
            </w:pPr>
            <w:r w:rsidRPr="00F1446C">
              <w:rPr>
                <w:b/>
                <w:sz w:val="20"/>
                <w:szCs w:val="20"/>
              </w:rPr>
              <w:t>Award</w:t>
            </w:r>
          </w:p>
        </w:tc>
        <w:tc>
          <w:tcPr>
            <w:tcW w:w="85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DEE9BC" w14:textId="77777777" w:rsidR="00127A4E" w:rsidRPr="00F1446C" w:rsidRDefault="00127A4E" w:rsidP="006904AD">
            <w:pPr>
              <w:spacing w:after="0" w:line="240" w:lineRule="auto"/>
              <w:rPr>
                <w:sz w:val="20"/>
                <w:szCs w:val="20"/>
              </w:rPr>
            </w:pPr>
            <w:r w:rsidRPr="00F1446C">
              <w:rPr>
                <w:sz w:val="20"/>
                <w:szCs w:val="20"/>
              </w:rPr>
              <w:t>Personal de una institución ganador de Premios Nobel y/o de la Medalla Fields (matemáticas).</w:t>
            </w:r>
          </w:p>
        </w:tc>
        <w:tc>
          <w:tcPr>
            <w:tcW w:w="11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B99675" w14:textId="77777777" w:rsidR="00127A4E" w:rsidRPr="00F1446C" w:rsidRDefault="00127A4E" w:rsidP="006904AD">
            <w:pPr>
              <w:spacing w:after="0" w:line="240" w:lineRule="auto"/>
              <w:jc w:val="center"/>
              <w:rPr>
                <w:sz w:val="20"/>
                <w:szCs w:val="20"/>
              </w:rPr>
            </w:pPr>
            <w:r w:rsidRPr="00F1446C">
              <w:rPr>
                <w:sz w:val="20"/>
                <w:szCs w:val="20"/>
              </w:rPr>
              <w:t>20%</w:t>
            </w:r>
          </w:p>
        </w:tc>
      </w:tr>
      <w:tr w:rsidR="00127A4E" w:rsidRPr="00F1446C" w14:paraId="4E76F63B" w14:textId="77777777" w:rsidTr="00530169">
        <w:trPr>
          <w:trHeight w:val="438"/>
          <w:jc w:val="center"/>
        </w:trPr>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36279888" w14:textId="77777777" w:rsidR="00127A4E" w:rsidRPr="00F1446C" w:rsidRDefault="00127A4E" w:rsidP="006904AD">
            <w:pPr>
              <w:spacing w:after="0" w:line="240" w:lineRule="auto"/>
              <w:jc w:val="center"/>
              <w:rPr>
                <w:b/>
                <w:sz w:val="20"/>
                <w:szCs w:val="20"/>
              </w:rPr>
            </w:pPr>
            <w:r w:rsidRPr="00F1446C">
              <w:rPr>
                <w:b/>
                <w:sz w:val="20"/>
                <w:szCs w:val="20"/>
              </w:rPr>
              <w:t>HiCi</w:t>
            </w:r>
          </w:p>
        </w:tc>
        <w:tc>
          <w:tcPr>
            <w:tcW w:w="8512" w:type="dxa"/>
            <w:tcBorders>
              <w:top w:val="single" w:sz="4" w:space="0" w:color="auto"/>
              <w:left w:val="single" w:sz="4" w:space="0" w:color="auto"/>
              <w:bottom w:val="single" w:sz="4" w:space="0" w:color="auto"/>
              <w:right w:val="single" w:sz="4" w:space="0" w:color="auto"/>
            </w:tcBorders>
            <w:shd w:val="clear" w:color="auto" w:fill="auto"/>
            <w:vAlign w:val="center"/>
          </w:tcPr>
          <w:p w14:paraId="28137352" w14:textId="77777777" w:rsidR="00127A4E" w:rsidRPr="00F1446C" w:rsidRDefault="00127A4E" w:rsidP="006904AD">
            <w:pPr>
              <w:spacing w:after="0" w:line="240" w:lineRule="auto"/>
              <w:rPr>
                <w:sz w:val="20"/>
                <w:szCs w:val="20"/>
              </w:rPr>
            </w:pPr>
            <w:r w:rsidRPr="00F1446C">
              <w:rPr>
                <w:sz w:val="20"/>
                <w:szCs w:val="20"/>
              </w:rPr>
              <w:t xml:space="preserve">Académicos altamente citados por </w:t>
            </w:r>
            <w:r w:rsidRPr="00F1446C">
              <w:rPr>
                <w:i/>
                <w:iCs/>
                <w:sz w:val="20"/>
                <w:szCs w:val="20"/>
              </w:rPr>
              <w:t>Clarivate Analytics</w:t>
            </w:r>
            <w:r w:rsidRPr="00F1446C">
              <w:rPr>
                <w:rStyle w:val="FootnoteReference"/>
                <w:sz w:val="20"/>
                <w:szCs w:val="20"/>
              </w:rPr>
              <w:footnoteReference w:id="1"/>
            </w:r>
            <w:r w:rsidRPr="00F1446C">
              <w:rPr>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D3BE96F" w14:textId="77777777" w:rsidR="00127A4E" w:rsidRPr="00F1446C" w:rsidRDefault="00127A4E" w:rsidP="006904AD">
            <w:pPr>
              <w:spacing w:after="0" w:line="240" w:lineRule="auto"/>
              <w:jc w:val="center"/>
              <w:rPr>
                <w:sz w:val="20"/>
                <w:szCs w:val="20"/>
              </w:rPr>
            </w:pPr>
            <w:r w:rsidRPr="00F1446C">
              <w:rPr>
                <w:sz w:val="20"/>
                <w:szCs w:val="20"/>
              </w:rPr>
              <w:t>20%</w:t>
            </w:r>
          </w:p>
        </w:tc>
      </w:tr>
      <w:tr w:rsidR="00127A4E" w:rsidRPr="00F1446C" w14:paraId="722C398D" w14:textId="77777777" w:rsidTr="00530169">
        <w:trPr>
          <w:trHeight w:val="438"/>
          <w:jc w:val="center"/>
        </w:trPr>
        <w:tc>
          <w:tcPr>
            <w:tcW w:w="13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D10409" w14:textId="77777777" w:rsidR="00127A4E" w:rsidRPr="00F1446C" w:rsidRDefault="00127A4E" w:rsidP="006904AD">
            <w:pPr>
              <w:spacing w:after="0" w:line="240" w:lineRule="auto"/>
              <w:jc w:val="center"/>
              <w:rPr>
                <w:b/>
                <w:sz w:val="20"/>
                <w:szCs w:val="20"/>
              </w:rPr>
            </w:pPr>
            <w:r w:rsidRPr="00F1446C">
              <w:rPr>
                <w:b/>
                <w:sz w:val="20"/>
                <w:szCs w:val="20"/>
              </w:rPr>
              <w:t>N&amp;S</w:t>
            </w:r>
          </w:p>
        </w:tc>
        <w:tc>
          <w:tcPr>
            <w:tcW w:w="85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949581" w14:textId="77777777" w:rsidR="00127A4E" w:rsidRPr="00F1446C" w:rsidRDefault="00127A4E" w:rsidP="006904AD">
            <w:pPr>
              <w:spacing w:after="0" w:line="240" w:lineRule="auto"/>
              <w:rPr>
                <w:sz w:val="20"/>
                <w:szCs w:val="20"/>
              </w:rPr>
            </w:pPr>
            <w:r w:rsidRPr="00F1446C">
              <w:rPr>
                <w:sz w:val="20"/>
                <w:szCs w:val="20"/>
              </w:rPr>
              <w:t xml:space="preserve">Artículos publicados en las revistas </w:t>
            </w:r>
            <w:r w:rsidRPr="003C40A4">
              <w:rPr>
                <w:i/>
                <w:iCs/>
                <w:sz w:val="20"/>
                <w:szCs w:val="20"/>
              </w:rPr>
              <w:t>Nature</w:t>
            </w:r>
            <w:r w:rsidRPr="00F1446C">
              <w:rPr>
                <w:sz w:val="20"/>
                <w:szCs w:val="20"/>
              </w:rPr>
              <w:t xml:space="preserve"> y </w:t>
            </w:r>
            <w:r w:rsidRPr="003C40A4">
              <w:rPr>
                <w:i/>
                <w:iCs/>
                <w:sz w:val="20"/>
                <w:szCs w:val="20"/>
              </w:rPr>
              <w:t>Science</w:t>
            </w:r>
            <w:r w:rsidRPr="00F1446C">
              <w:rPr>
                <w:sz w:val="20"/>
                <w:szCs w:val="20"/>
              </w:rPr>
              <w:t>. En el caso de las universidades especializadas en humanidades y ciencias sociales, el 20% del indicador N&amp;S se transfiere a otros indicadores.</w:t>
            </w:r>
          </w:p>
        </w:tc>
        <w:tc>
          <w:tcPr>
            <w:tcW w:w="11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382D3C" w14:textId="77777777" w:rsidR="00127A4E" w:rsidRPr="00F1446C" w:rsidRDefault="00127A4E" w:rsidP="006904AD">
            <w:pPr>
              <w:spacing w:after="0" w:line="240" w:lineRule="auto"/>
              <w:jc w:val="center"/>
              <w:rPr>
                <w:sz w:val="20"/>
                <w:szCs w:val="20"/>
              </w:rPr>
            </w:pPr>
            <w:r w:rsidRPr="00F1446C">
              <w:rPr>
                <w:sz w:val="20"/>
                <w:szCs w:val="20"/>
              </w:rPr>
              <w:t>20%</w:t>
            </w:r>
          </w:p>
        </w:tc>
      </w:tr>
      <w:tr w:rsidR="00127A4E" w:rsidRPr="00F1446C" w14:paraId="4EE41F93" w14:textId="77777777" w:rsidTr="00530169">
        <w:trPr>
          <w:trHeight w:val="438"/>
          <w:jc w:val="center"/>
        </w:trPr>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14:paraId="25A8BF80" w14:textId="77777777" w:rsidR="00127A4E" w:rsidRPr="00F1446C" w:rsidRDefault="00127A4E" w:rsidP="006904AD">
            <w:pPr>
              <w:spacing w:after="0" w:line="240" w:lineRule="auto"/>
              <w:jc w:val="center"/>
              <w:rPr>
                <w:b/>
                <w:sz w:val="20"/>
                <w:szCs w:val="20"/>
              </w:rPr>
            </w:pPr>
            <w:r w:rsidRPr="00F1446C">
              <w:rPr>
                <w:b/>
                <w:sz w:val="20"/>
                <w:szCs w:val="20"/>
              </w:rPr>
              <w:t>PUB</w:t>
            </w:r>
          </w:p>
        </w:tc>
        <w:tc>
          <w:tcPr>
            <w:tcW w:w="8512" w:type="dxa"/>
            <w:tcBorders>
              <w:top w:val="single" w:sz="4" w:space="0" w:color="auto"/>
              <w:left w:val="single" w:sz="4" w:space="0" w:color="auto"/>
              <w:bottom w:val="single" w:sz="4" w:space="0" w:color="auto"/>
              <w:right w:val="single" w:sz="4" w:space="0" w:color="auto"/>
            </w:tcBorders>
            <w:shd w:val="clear" w:color="auto" w:fill="auto"/>
            <w:vAlign w:val="center"/>
          </w:tcPr>
          <w:p w14:paraId="55C74CEB" w14:textId="77777777" w:rsidR="00127A4E" w:rsidRPr="00F1446C" w:rsidRDefault="00127A4E" w:rsidP="006904AD">
            <w:pPr>
              <w:spacing w:after="0" w:line="240" w:lineRule="auto"/>
              <w:rPr>
                <w:sz w:val="20"/>
                <w:szCs w:val="20"/>
              </w:rPr>
            </w:pPr>
            <w:r w:rsidRPr="00F1446C">
              <w:rPr>
                <w:sz w:val="20"/>
                <w:szCs w:val="20"/>
              </w:rPr>
              <w:t>Artículos indexados en el Science Citation Index-Expanded (SCIE) y el Social Science Citation Index (SSCI).</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9DEAEC8" w14:textId="77777777" w:rsidR="00127A4E" w:rsidRPr="00F1446C" w:rsidRDefault="00127A4E" w:rsidP="006904AD">
            <w:pPr>
              <w:spacing w:after="0" w:line="240" w:lineRule="auto"/>
              <w:jc w:val="center"/>
              <w:rPr>
                <w:sz w:val="20"/>
                <w:szCs w:val="20"/>
              </w:rPr>
            </w:pPr>
            <w:r w:rsidRPr="00F1446C">
              <w:rPr>
                <w:sz w:val="20"/>
                <w:szCs w:val="20"/>
              </w:rPr>
              <w:t>20%</w:t>
            </w:r>
          </w:p>
        </w:tc>
      </w:tr>
      <w:tr w:rsidR="00127A4E" w:rsidRPr="00F1446C" w14:paraId="78CD7507" w14:textId="77777777" w:rsidTr="00530169">
        <w:trPr>
          <w:trHeight w:val="439"/>
          <w:jc w:val="center"/>
        </w:trPr>
        <w:tc>
          <w:tcPr>
            <w:tcW w:w="13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9C19FA" w14:textId="77777777" w:rsidR="00127A4E" w:rsidRPr="00F1446C" w:rsidRDefault="00127A4E" w:rsidP="006904AD">
            <w:pPr>
              <w:spacing w:after="0" w:line="240" w:lineRule="auto"/>
              <w:jc w:val="center"/>
              <w:rPr>
                <w:b/>
                <w:sz w:val="20"/>
                <w:szCs w:val="20"/>
              </w:rPr>
            </w:pPr>
            <w:r w:rsidRPr="00F1446C">
              <w:rPr>
                <w:b/>
                <w:sz w:val="20"/>
                <w:szCs w:val="20"/>
              </w:rPr>
              <w:t>PCP</w:t>
            </w:r>
          </w:p>
        </w:tc>
        <w:tc>
          <w:tcPr>
            <w:tcW w:w="85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9D61EA" w14:textId="77777777" w:rsidR="00127A4E" w:rsidRPr="00F1446C" w:rsidRDefault="00127A4E" w:rsidP="006904AD">
            <w:pPr>
              <w:spacing w:after="0" w:line="240" w:lineRule="auto"/>
              <w:rPr>
                <w:sz w:val="20"/>
                <w:szCs w:val="20"/>
              </w:rPr>
            </w:pPr>
            <w:r w:rsidRPr="00F1446C">
              <w:rPr>
                <w:sz w:val="20"/>
                <w:szCs w:val="20"/>
              </w:rPr>
              <w:t>Producción académica con respecto al tamaño de una institución.</w:t>
            </w:r>
          </w:p>
        </w:tc>
        <w:tc>
          <w:tcPr>
            <w:tcW w:w="11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C21C88" w14:textId="77777777" w:rsidR="00127A4E" w:rsidRPr="00F1446C" w:rsidRDefault="00127A4E" w:rsidP="006904AD">
            <w:pPr>
              <w:spacing w:after="0" w:line="240" w:lineRule="auto"/>
              <w:jc w:val="center"/>
              <w:rPr>
                <w:sz w:val="20"/>
                <w:szCs w:val="20"/>
              </w:rPr>
            </w:pPr>
            <w:r w:rsidRPr="00F1446C">
              <w:rPr>
                <w:sz w:val="20"/>
                <w:szCs w:val="20"/>
              </w:rPr>
              <w:t>10%</w:t>
            </w:r>
          </w:p>
        </w:tc>
      </w:tr>
    </w:tbl>
    <w:p w14:paraId="7D0F95D6" w14:textId="77777777" w:rsidR="00127A4E" w:rsidRPr="00F1446C" w:rsidRDefault="00127A4E" w:rsidP="00127A4E">
      <w:pPr>
        <w:pStyle w:val="ListParagraph"/>
        <w:spacing w:after="0" w:line="240" w:lineRule="auto"/>
        <w:jc w:val="both"/>
        <w:rPr>
          <w:sz w:val="24"/>
        </w:rPr>
      </w:pPr>
    </w:p>
    <w:p w14:paraId="3BE9095B" w14:textId="7B2B3138" w:rsidR="00E96968" w:rsidRPr="00F1446C" w:rsidRDefault="00E96968" w:rsidP="00E96968">
      <w:pPr>
        <w:spacing w:after="0" w:line="240" w:lineRule="auto"/>
        <w:jc w:val="both"/>
        <w:rPr>
          <w:sz w:val="24"/>
        </w:rPr>
      </w:pPr>
      <w:r w:rsidRPr="00F1446C">
        <w:rPr>
          <w:sz w:val="24"/>
        </w:rPr>
        <w:t>Todos</w:t>
      </w:r>
      <w:r w:rsidR="00670182" w:rsidRPr="00F1446C">
        <w:rPr>
          <w:sz w:val="24"/>
        </w:rPr>
        <w:t xml:space="preserve"> </w:t>
      </w:r>
      <w:r w:rsidRPr="00F1446C">
        <w:rPr>
          <w:sz w:val="24"/>
        </w:rPr>
        <w:t>los</w:t>
      </w:r>
      <w:r w:rsidR="00670182" w:rsidRPr="00F1446C">
        <w:rPr>
          <w:sz w:val="24"/>
        </w:rPr>
        <w:t xml:space="preserve"> </w:t>
      </w:r>
      <w:r w:rsidRPr="00F1446C">
        <w:rPr>
          <w:sz w:val="24"/>
        </w:rPr>
        <w:t>puntajes</w:t>
      </w:r>
      <w:r w:rsidR="00670182" w:rsidRPr="00F1446C">
        <w:rPr>
          <w:sz w:val="24"/>
        </w:rPr>
        <w:t xml:space="preserve"> </w:t>
      </w:r>
      <w:r w:rsidRPr="00F1446C">
        <w:rPr>
          <w:sz w:val="24"/>
        </w:rPr>
        <w:t>del</w:t>
      </w:r>
      <w:r w:rsidR="00670182" w:rsidRPr="00F1446C">
        <w:rPr>
          <w:sz w:val="24"/>
        </w:rPr>
        <w:t xml:space="preserve"> </w:t>
      </w:r>
      <w:r w:rsidRPr="00F1446C">
        <w:rPr>
          <w:sz w:val="24"/>
        </w:rPr>
        <w:t>ranking</w:t>
      </w:r>
      <w:r w:rsidR="00670182" w:rsidRPr="00F1446C">
        <w:rPr>
          <w:sz w:val="24"/>
        </w:rPr>
        <w:t xml:space="preserve"> </w:t>
      </w:r>
      <w:r w:rsidRPr="00F1446C">
        <w:rPr>
          <w:sz w:val="24"/>
        </w:rPr>
        <w:t>se</w:t>
      </w:r>
      <w:r w:rsidR="00670182" w:rsidRPr="00F1446C">
        <w:rPr>
          <w:sz w:val="24"/>
        </w:rPr>
        <w:t xml:space="preserve"> </w:t>
      </w:r>
      <w:r w:rsidRPr="00F1446C">
        <w:rPr>
          <w:sz w:val="24"/>
        </w:rPr>
        <w:t>encuentran</w:t>
      </w:r>
      <w:r w:rsidR="00670182" w:rsidRPr="00F1446C">
        <w:rPr>
          <w:sz w:val="24"/>
        </w:rPr>
        <w:t xml:space="preserve"> </w:t>
      </w:r>
      <w:r w:rsidRPr="00F1446C">
        <w:rPr>
          <w:sz w:val="24"/>
        </w:rPr>
        <w:t>normalizados</w:t>
      </w:r>
      <w:r w:rsidR="00670182" w:rsidRPr="00F1446C">
        <w:rPr>
          <w:sz w:val="24"/>
        </w:rPr>
        <w:t xml:space="preserve"> </w:t>
      </w:r>
      <w:r w:rsidRPr="00F1446C">
        <w:rPr>
          <w:sz w:val="24"/>
        </w:rPr>
        <w:t>al</w:t>
      </w:r>
      <w:r w:rsidR="00670182" w:rsidRPr="00F1446C">
        <w:rPr>
          <w:sz w:val="24"/>
        </w:rPr>
        <w:t xml:space="preserve"> </w:t>
      </w:r>
      <w:r w:rsidRPr="00F1446C">
        <w:rPr>
          <w:sz w:val="24"/>
        </w:rPr>
        <w:t>100%</w:t>
      </w:r>
      <w:r w:rsidR="00670182" w:rsidRPr="00F1446C">
        <w:rPr>
          <w:sz w:val="24"/>
        </w:rPr>
        <w:t xml:space="preserve"> </w:t>
      </w:r>
      <w:r w:rsidRPr="00F1446C">
        <w:rPr>
          <w:sz w:val="24"/>
        </w:rPr>
        <w:t>con</w:t>
      </w:r>
      <w:r w:rsidR="00670182" w:rsidRPr="00F1446C">
        <w:rPr>
          <w:sz w:val="24"/>
        </w:rPr>
        <w:t xml:space="preserve"> </w:t>
      </w:r>
      <w:r w:rsidRPr="00F1446C">
        <w:rPr>
          <w:sz w:val="24"/>
        </w:rPr>
        <w:t>referencia</w:t>
      </w:r>
      <w:r w:rsidR="00670182" w:rsidRPr="00F1446C">
        <w:rPr>
          <w:sz w:val="24"/>
        </w:rPr>
        <w:t xml:space="preserve"> </w:t>
      </w:r>
      <w:r w:rsidRPr="00F1446C">
        <w:rPr>
          <w:sz w:val="24"/>
        </w:rPr>
        <w:t>al</w:t>
      </w:r>
      <w:r w:rsidR="00670182" w:rsidRPr="00F1446C">
        <w:rPr>
          <w:sz w:val="24"/>
        </w:rPr>
        <w:t xml:space="preserve"> </w:t>
      </w:r>
      <w:r w:rsidRPr="00F1446C">
        <w:rPr>
          <w:sz w:val="24"/>
        </w:rPr>
        <w:t>valor</w:t>
      </w:r>
      <w:r w:rsidR="00670182" w:rsidRPr="00F1446C">
        <w:rPr>
          <w:sz w:val="24"/>
        </w:rPr>
        <w:t xml:space="preserve"> </w:t>
      </w:r>
      <w:r w:rsidRPr="00F1446C">
        <w:rPr>
          <w:sz w:val="24"/>
        </w:rPr>
        <w:t>de</w:t>
      </w:r>
      <w:r w:rsidR="00670182" w:rsidRPr="00F1446C">
        <w:rPr>
          <w:sz w:val="24"/>
        </w:rPr>
        <w:t xml:space="preserve"> </w:t>
      </w:r>
      <w:r w:rsidRPr="00F1446C">
        <w:rPr>
          <w:sz w:val="24"/>
        </w:rPr>
        <w:t>100</w:t>
      </w:r>
      <w:r w:rsidR="00670182" w:rsidRPr="00F1446C">
        <w:rPr>
          <w:sz w:val="24"/>
        </w:rPr>
        <w:t xml:space="preserve"> </w:t>
      </w:r>
      <w:r w:rsidRPr="00F1446C">
        <w:rPr>
          <w:sz w:val="24"/>
        </w:rPr>
        <w:t>puntos</w:t>
      </w:r>
      <w:r w:rsidR="00670182" w:rsidRPr="00F1446C">
        <w:rPr>
          <w:sz w:val="24"/>
        </w:rPr>
        <w:t xml:space="preserve"> </w:t>
      </w:r>
      <w:r w:rsidRPr="00F1446C">
        <w:rPr>
          <w:sz w:val="24"/>
        </w:rPr>
        <w:t>asignados</w:t>
      </w:r>
      <w:r w:rsidR="00670182" w:rsidRPr="00F1446C">
        <w:rPr>
          <w:sz w:val="24"/>
        </w:rPr>
        <w:t xml:space="preserve"> </w:t>
      </w:r>
      <w:r w:rsidRPr="00F1446C">
        <w:rPr>
          <w:sz w:val="24"/>
        </w:rPr>
        <w:t>a</w:t>
      </w:r>
      <w:r w:rsidR="00670182" w:rsidRPr="00F1446C">
        <w:rPr>
          <w:sz w:val="24"/>
        </w:rPr>
        <w:t xml:space="preserve"> </w:t>
      </w:r>
      <w:r w:rsidRPr="00F1446C">
        <w:rPr>
          <w:sz w:val="24"/>
        </w:rPr>
        <w:t>la</w:t>
      </w:r>
      <w:r w:rsidR="00670182" w:rsidRPr="00F1446C">
        <w:rPr>
          <w:sz w:val="24"/>
        </w:rPr>
        <w:t xml:space="preserve"> </w:t>
      </w:r>
      <w:r w:rsidRPr="00F1446C">
        <w:rPr>
          <w:sz w:val="24"/>
        </w:rPr>
        <w:t>universidad</w:t>
      </w:r>
      <w:r w:rsidR="00670182" w:rsidRPr="00F1446C">
        <w:rPr>
          <w:sz w:val="24"/>
        </w:rPr>
        <w:t xml:space="preserve"> </w:t>
      </w:r>
      <w:r w:rsidRPr="00F1446C">
        <w:rPr>
          <w:sz w:val="24"/>
        </w:rPr>
        <w:t>con</w:t>
      </w:r>
      <w:r w:rsidR="00670182" w:rsidRPr="00F1446C">
        <w:rPr>
          <w:sz w:val="24"/>
        </w:rPr>
        <w:t xml:space="preserve"> </w:t>
      </w:r>
      <w:r w:rsidRPr="00F1446C">
        <w:rPr>
          <w:sz w:val="24"/>
        </w:rPr>
        <w:t>mejor</w:t>
      </w:r>
      <w:r w:rsidR="00670182" w:rsidRPr="00F1446C">
        <w:rPr>
          <w:sz w:val="24"/>
        </w:rPr>
        <w:t xml:space="preserve"> </w:t>
      </w:r>
      <w:r w:rsidRPr="00F1446C">
        <w:rPr>
          <w:sz w:val="24"/>
        </w:rPr>
        <w:t>desempeño</w:t>
      </w:r>
      <w:r w:rsidR="00670182" w:rsidRPr="00F1446C">
        <w:rPr>
          <w:sz w:val="24"/>
        </w:rPr>
        <w:t xml:space="preserve"> </w:t>
      </w:r>
      <w:r w:rsidRPr="00F1446C">
        <w:rPr>
          <w:sz w:val="24"/>
        </w:rPr>
        <w:t>en</w:t>
      </w:r>
      <w:r w:rsidR="00670182" w:rsidRPr="00F1446C">
        <w:rPr>
          <w:sz w:val="24"/>
        </w:rPr>
        <w:t xml:space="preserve"> </w:t>
      </w:r>
      <w:r w:rsidRPr="00F1446C">
        <w:rPr>
          <w:sz w:val="24"/>
        </w:rPr>
        <w:t>cada</w:t>
      </w:r>
      <w:r w:rsidR="00670182" w:rsidRPr="00F1446C">
        <w:rPr>
          <w:sz w:val="24"/>
        </w:rPr>
        <w:t xml:space="preserve"> </w:t>
      </w:r>
      <w:r w:rsidRPr="00F1446C">
        <w:rPr>
          <w:sz w:val="24"/>
        </w:rPr>
        <w:t>indicador.</w:t>
      </w:r>
    </w:p>
    <w:p w14:paraId="5CF6BA64" w14:textId="012FF3A0" w:rsidR="00532C7D" w:rsidRPr="00F1446C" w:rsidRDefault="00532C7D" w:rsidP="00532C7D">
      <w:pPr>
        <w:spacing w:after="0" w:line="240" w:lineRule="auto"/>
        <w:jc w:val="both"/>
        <w:rPr>
          <w:sz w:val="24"/>
        </w:rPr>
      </w:pPr>
    </w:p>
    <w:p w14:paraId="270B966C" w14:textId="4008DD4E" w:rsidR="006255F9" w:rsidRPr="00F1446C" w:rsidRDefault="006255F9" w:rsidP="008908CD">
      <w:pPr>
        <w:spacing w:after="0" w:line="240" w:lineRule="auto"/>
        <w:jc w:val="both"/>
        <w:rPr>
          <w:b/>
          <w:sz w:val="24"/>
        </w:rPr>
      </w:pPr>
      <w:r w:rsidRPr="00F1446C">
        <w:rPr>
          <w:b/>
          <w:sz w:val="24"/>
        </w:rPr>
        <w:lastRenderedPageBreak/>
        <w:t>Resultados</w:t>
      </w:r>
    </w:p>
    <w:p w14:paraId="56FC9D27" w14:textId="1163E974" w:rsidR="00B30084" w:rsidRPr="00F1446C" w:rsidRDefault="00B30084" w:rsidP="00920BDC">
      <w:pPr>
        <w:pStyle w:val="ListParagraph"/>
        <w:numPr>
          <w:ilvl w:val="0"/>
          <w:numId w:val="1"/>
        </w:numPr>
        <w:spacing w:after="0" w:line="240" w:lineRule="auto"/>
        <w:ind w:left="0"/>
        <w:jc w:val="both"/>
        <w:rPr>
          <w:sz w:val="24"/>
          <w:szCs w:val="24"/>
        </w:rPr>
      </w:pPr>
      <w:r w:rsidRPr="00F1446C">
        <w:rPr>
          <w:sz w:val="24"/>
        </w:rPr>
        <w:t xml:space="preserve">El </w:t>
      </w:r>
      <w:r w:rsidRPr="00F1446C">
        <w:rPr>
          <w:b/>
          <w:bCs/>
          <w:sz w:val="24"/>
        </w:rPr>
        <w:t>Ranking ARWU 2021</w:t>
      </w:r>
      <w:r w:rsidRPr="00F1446C">
        <w:rPr>
          <w:sz w:val="24"/>
        </w:rPr>
        <w:t xml:space="preserve"> clasificó a 77 universidades de 7 países</w:t>
      </w:r>
      <w:r w:rsidR="00BF0211" w:rsidRPr="00F1446C">
        <w:rPr>
          <w:sz w:val="24"/>
        </w:rPr>
        <w:t xml:space="preserve"> de </w:t>
      </w:r>
      <w:r w:rsidR="006C70F9">
        <w:rPr>
          <w:sz w:val="24"/>
        </w:rPr>
        <w:t>Iberoamérica</w:t>
      </w:r>
      <w:r w:rsidRPr="00F1446C">
        <w:rPr>
          <w:sz w:val="24"/>
        </w:rPr>
        <w:t>. A continuación se presentan los datos del número de universidades por país, así como el puntaje obtenido por las universidades en los diferentes indicadores</w:t>
      </w:r>
    </w:p>
    <w:p w14:paraId="647EF21B" w14:textId="77777777" w:rsidR="004B6042" w:rsidRPr="00F1446C" w:rsidRDefault="004B6042" w:rsidP="008908CD">
      <w:pPr>
        <w:spacing w:after="0" w:line="240" w:lineRule="auto"/>
        <w:rPr>
          <w:sz w:val="20"/>
          <w:szCs w:val="20"/>
        </w:rPr>
      </w:pPr>
    </w:p>
    <w:tbl>
      <w:tblPr>
        <w:tblW w:w="9331" w:type="dxa"/>
        <w:jc w:val="center"/>
        <w:tblCellMar>
          <w:left w:w="70" w:type="dxa"/>
          <w:right w:w="70" w:type="dxa"/>
        </w:tblCellMar>
        <w:tblLook w:val="04A0" w:firstRow="1" w:lastRow="0" w:firstColumn="1" w:lastColumn="0" w:noHBand="0" w:noVBand="1"/>
      </w:tblPr>
      <w:tblGrid>
        <w:gridCol w:w="9830"/>
      </w:tblGrid>
      <w:tr w:rsidR="004B6042" w:rsidRPr="00F1446C" w14:paraId="262BC4F6" w14:textId="77777777" w:rsidTr="00F06783">
        <w:trPr>
          <w:trHeight w:val="372"/>
          <w:jc w:val="center"/>
        </w:trPr>
        <w:tc>
          <w:tcPr>
            <w:tcW w:w="9331" w:type="dxa"/>
            <w:shd w:val="clear" w:color="auto" w:fill="auto"/>
            <w:noWrap/>
            <w:vAlign w:val="center"/>
          </w:tcPr>
          <w:p w14:paraId="751AF4BC" w14:textId="40FFC914" w:rsidR="00AB1CF1" w:rsidRPr="00F1446C" w:rsidRDefault="00BF0211" w:rsidP="00AB1CF1">
            <w:pPr>
              <w:spacing w:after="0" w:line="240" w:lineRule="auto"/>
              <w:jc w:val="center"/>
              <w:rPr>
                <w:rFonts w:ascii="Calibri" w:eastAsia="Times New Roman" w:hAnsi="Calibri" w:cs="Times New Roman"/>
                <w:b/>
                <w:color w:val="050505"/>
                <w:sz w:val="20"/>
                <w:szCs w:val="24"/>
                <w:lang w:eastAsia="es-MX"/>
              </w:rPr>
            </w:pPr>
            <w:r w:rsidRPr="00F1446C">
              <w:rPr>
                <w:rFonts w:ascii="Calibri" w:eastAsia="Times New Roman" w:hAnsi="Calibri" w:cs="Times New Roman"/>
                <w:b/>
                <w:color w:val="050505"/>
                <w:sz w:val="20"/>
                <w:szCs w:val="18"/>
                <w:lang w:eastAsia="es-MX"/>
              </w:rPr>
              <w:t xml:space="preserve">Gráfico 1. Total de universidades </w:t>
            </w:r>
            <w:r w:rsidR="008F673C" w:rsidRPr="00F1446C">
              <w:rPr>
                <w:rFonts w:ascii="Calibri" w:eastAsia="Times New Roman" w:hAnsi="Calibri" w:cs="Times New Roman"/>
                <w:b/>
                <w:color w:val="050505"/>
                <w:sz w:val="20"/>
                <w:szCs w:val="18"/>
                <w:lang w:eastAsia="es-MX"/>
              </w:rPr>
              <w:t xml:space="preserve">de </w:t>
            </w:r>
            <w:bookmarkStart w:id="1" w:name="_Hlk80696133"/>
            <w:r w:rsidR="006C70F9">
              <w:rPr>
                <w:rFonts w:ascii="Calibri" w:eastAsia="Times New Roman" w:hAnsi="Calibri" w:cs="Times New Roman"/>
                <w:b/>
                <w:color w:val="050505"/>
                <w:sz w:val="20"/>
                <w:szCs w:val="18"/>
                <w:lang w:eastAsia="es-MX"/>
              </w:rPr>
              <w:t>Iberoamérica</w:t>
            </w:r>
            <w:r w:rsidRPr="00F1446C">
              <w:rPr>
                <w:rFonts w:ascii="Calibri" w:eastAsia="Times New Roman" w:hAnsi="Calibri" w:cs="Times New Roman"/>
                <w:b/>
                <w:color w:val="050505"/>
                <w:sz w:val="20"/>
                <w:szCs w:val="18"/>
                <w:lang w:eastAsia="es-MX"/>
              </w:rPr>
              <w:t xml:space="preserve"> </w:t>
            </w:r>
            <w:bookmarkEnd w:id="1"/>
            <w:r w:rsidRPr="00F1446C">
              <w:rPr>
                <w:rFonts w:ascii="Calibri" w:eastAsia="Times New Roman" w:hAnsi="Calibri" w:cs="Times New Roman"/>
                <w:b/>
                <w:color w:val="050505"/>
                <w:sz w:val="20"/>
                <w:szCs w:val="18"/>
                <w:lang w:eastAsia="es-MX"/>
              </w:rPr>
              <w:t>por país en el</w:t>
            </w:r>
            <w:r w:rsidRPr="00F1446C">
              <w:rPr>
                <w:sz w:val="20"/>
              </w:rPr>
              <w:t xml:space="preserve"> </w:t>
            </w:r>
            <w:r w:rsidRPr="00F1446C">
              <w:rPr>
                <w:rFonts w:ascii="Calibri" w:eastAsia="Times New Roman" w:hAnsi="Calibri" w:cs="Times New Roman"/>
                <w:b/>
                <w:color w:val="050505"/>
                <w:sz w:val="20"/>
                <w:szCs w:val="18"/>
                <w:lang w:eastAsia="es-MX"/>
              </w:rPr>
              <w:t>Ranking ARWU 2021.</w:t>
            </w:r>
          </w:p>
        </w:tc>
      </w:tr>
      <w:tr w:rsidR="004B6042" w:rsidRPr="00F1446C" w14:paraId="6050EE15" w14:textId="77777777" w:rsidTr="00BF0211">
        <w:trPr>
          <w:trHeight w:val="2341"/>
          <w:jc w:val="center"/>
        </w:trPr>
        <w:tc>
          <w:tcPr>
            <w:tcW w:w="9331" w:type="dxa"/>
            <w:shd w:val="clear" w:color="auto" w:fill="auto"/>
            <w:noWrap/>
            <w:vAlign w:val="center"/>
          </w:tcPr>
          <w:p w14:paraId="782FE429" w14:textId="54098637" w:rsidR="004B6042" w:rsidRPr="00F1446C" w:rsidRDefault="00BF0211" w:rsidP="008908CD">
            <w:pPr>
              <w:spacing w:after="0" w:line="240" w:lineRule="auto"/>
              <w:jc w:val="center"/>
              <w:rPr>
                <w:rFonts w:ascii="Calibri" w:eastAsia="Times New Roman" w:hAnsi="Calibri" w:cs="Times New Roman"/>
                <w:b/>
                <w:color w:val="050505"/>
                <w:sz w:val="16"/>
                <w:szCs w:val="18"/>
                <w:lang w:eastAsia="es-MX"/>
              </w:rPr>
            </w:pPr>
            <w:r w:rsidRPr="00F1446C">
              <w:rPr>
                <w:noProof/>
              </w:rPr>
              <w:drawing>
                <wp:inline distT="0" distB="0" distL="0" distR="0" wp14:anchorId="0C6EC8E5" wp14:editId="67188B33">
                  <wp:extent cx="6149340" cy="1493520"/>
                  <wp:effectExtent l="0" t="0" r="3810" b="0"/>
                  <wp:docPr id="1" name="Gráfico 1">
                    <a:extLst xmlns:a="http://schemas.openxmlformats.org/drawingml/2006/main">
                      <a:ext uri="{FF2B5EF4-FFF2-40B4-BE49-F238E27FC236}">
                        <a16:creationId xmlns:a16="http://schemas.microsoft.com/office/drawing/2014/main" id="{21BE5586-9808-4DF8-83D4-8A93A7E3BF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7469F1E" w14:textId="695618FE" w:rsidR="008F673C" w:rsidRPr="00F1446C" w:rsidRDefault="008F673C" w:rsidP="008F673C">
      <w:pPr>
        <w:pStyle w:val="ListParagraph"/>
        <w:spacing w:after="0" w:line="240" w:lineRule="auto"/>
        <w:ind w:left="0"/>
        <w:jc w:val="both"/>
        <w:rPr>
          <w:sz w:val="24"/>
        </w:rPr>
      </w:pPr>
    </w:p>
    <w:tbl>
      <w:tblPr>
        <w:tblW w:w="10559" w:type="dxa"/>
        <w:jc w:val="center"/>
        <w:tblLayout w:type="fixed"/>
        <w:tblCellMar>
          <w:left w:w="70" w:type="dxa"/>
          <w:right w:w="70" w:type="dxa"/>
        </w:tblCellMar>
        <w:tblLook w:val="04A0" w:firstRow="1" w:lastRow="0" w:firstColumn="1" w:lastColumn="0" w:noHBand="0" w:noVBand="1"/>
      </w:tblPr>
      <w:tblGrid>
        <w:gridCol w:w="969"/>
        <w:gridCol w:w="3966"/>
        <w:gridCol w:w="971"/>
        <w:gridCol w:w="691"/>
        <w:gridCol w:w="692"/>
        <w:gridCol w:w="809"/>
        <w:gridCol w:w="809"/>
        <w:gridCol w:w="809"/>
        <w:gridCol w:w="826"/>
        <w:gridCol w:w="17"/>
      </w:tblGrid>
      <w:tr w:rsidR="008F673C" w:rsidRPr="00F1446C" w14:paraId="4E1D4FFD" w14:textId="77777777" w:rsidTr="00A61E11">
        <w:trPr>
          <w:trHeight w:val="195"/>
          <w:tblHeader/>
          <w:jc w:val="center"/>
        </w:trPr>
        <w:tc>
          <w:tcPr>
            <w:tcW w:w="10559" w:type="dxa"/>
            <w:gridSpan w:val="10"/>
            <w:tcBorders>
              <w:bottom w:val="single" w:sz="4" w:space="0" w:color="auto"/>
            </w:tcBorders>
            <w:shd w:val="clear" w:color="auto" w:fill="auto"/>
            <w:noWrap/>
            <w:vAlign w:val="center"/>
          </w:tcPr>
          <w:p w14:paraId="3C9C2AA8" w14:textId="4532CD8D" w:rsidR="008F673C" w:rsidRPr="00F1446C" w:rsidRDefault="008F673C" w:rsidP="006904AD">
            <w:pPr>
              <w:spacing w:after="0" w:line="240" w:lineRule="auto"/>
              <w:jc w:val="center"/>
              <w:rPr>
                <w:b/>
                <w:sz w:val="18"/>
                <w:szCs w:val="20"/>
              </w:rPr>
            </w:pPr>
            <w:r w:rsidRPr="00F1446C">
              <w:rPr>
                <w:rFonts w:ascii="Calibri" w:eastAsia="Times New Roman" w:hAnsi="Calibri" w:cs="Times New Roman"/>
                <w:b/>
                <w:color w:val="050505"/>
                <w:sz w:val="20"/>
                <w:szCs w:val="24"/>
                <w:lang w:eastAsia="es-MX"/>
              </w:rPr>
              <w:t xml:space="preserve">Tabla 2. Posición de las universidades </w:t>
            </w:r>
            <w:r w:rsidR="00D80DC5">
              <w:rPr>
                <w:rFonts w:ascii="Calibri" w:eastAsia="Times New Roman" w:hAnsi="Calibri" w:cs="Times New Roman"/>
                <w:b/>
                <w:color w:val="050505"/>
                <w:sz w:val="20"/>
                <w:szCs w:val="18"/>
                <w:lang w:eastAsia="es-MX"/>
              </w:rPr>
              <w:t>Iberoam</w:t>
            </w:r>
            <w:r w:rsidR="00A74B58">
              <w:rPr>
                <w:rFonts w:ascii="Calibri" w:eastAsia="Times New Roman" w:hAnsi="Calibri" w:cs="Times New Roman"/>
                <w:b/>
                <w:color w:val="050505"/>
                <w:sz w:val="20"/>
                <w:szCs w:val="18"/>
                <w:lang w:eastAsia="es-MX"/>
              </w:rPr>
              <w:t>e</w:t>
            </w:r>
            <w:r w:rsidR="00D80DC5">
              <w:rPr>
                <w:rFonts w:ascii="Calibri" w:eastAsia="Times New Roman" w:hAnsi="Calibri" w:cs="Times New Roman"/>
                <w:b/>
                <w:color w:val="050505"/>
                <w:sz w:val="20"/>
                <w:szCs w:val="18"/>
                <w:lang w:eastAsia="es-MX"/>
              </w:rPr>
              <w:t>rica</w:t>
            </w:r>
            <w:r w:rsidR="00A74B58">
              <w:rPr>
                <w:rFonts w:ascii="Calibri" w:eastAsia="Times New Roman" w:hAnsi="Calibri" w:cs="Times New Roman"/>
                <w:b/>
                <w:color w:val="050505"/>
                <w:sz w:val="20"/>
                <w:szCs w:val="18"/>
                <w:lang w:eastAsia="es-MX"/>
              </w:rPr>
              <w:t>nas</w:t>
            </w:r>
            <w:r w:rsidR="00D80DC5" w:rsidRPr="00F1446C">
              <w:rPr>
                <w:rFonts w:ascii="Calibri" w:eastAsia="Times New Roman" w:hAnsi="Calibri" w:cs="Times New Roman"/>
                <w:b/>
                <w:color w:val="050505"/>
                <w:sz w:val="20"/>
                <w:szCs w:val="18"/>
                <w:lang w:eastAsia="es-MX"/>
              </w:rPr>
              <w:t xml:space="preserve"> </w:t>
            </w:r>
            <w:r w:rsidRPr="00F1446C">
              <w:rPr>
                <w:rFonts w:ascii="Calibri" w:eastAsia="Times New Roman" w:hAnsi="Calibri" w:cs="Times New Roman"/>
                <w:b/>
                <w:color w:val="050505"/>
                <w:sz w:val="20"/>
                <w:szCs w:val="24"/>
                <w:lang w:eastAsia="es-MX"/>
              </w:rPr>
              <w:t xml:space="preserve">en el </w:t>
            </w:r>
            <w:r w:rsidRPr="00F1446C">
              <w:rPr>
                <w:rFonts w:ascii="Calibri" w:eastAsia="Times New Roman" w:hAnsi="Calibri" w:cs="Times New Roman"/>
                <w:b/>
                <w:color w:val="050505"/>
                <w:sz w:val="20"/>
                <w:szCs w:val="18"/>
                <w:lang w:eastAsia="es-MX"/>
              </w:rPr>
              <w:t>Ranking ARWU 2021</w:t>
            </w:r>
            <w:r w:rsidRPr="00F1446C">
              <w:rPr>
                <w:rFonts w:ascii="Calibri" w:eastAsia="Times New Roman" w:hAnsi="Calibri" w:cs="Times New Roman"/>
                <w:b/>
                <w:color w:val="050505"/>
                <w:sz w:val="20"/>
                <w:szCs w:val="24"/>
                <w:lang w:eastAsia="es-MX"/>
              </w:rPr>
              <w:t>.</w:t>
            </w:r>
          </w:p>
        </w:tc>
      </w:tr>
      <w:tr w:rsidR="00A61E11" w:rsidRPr="00F1446C" w14:paraId="62FC52CC" w14:textId="77777777" w:rsidTr="00A61E11">
        <w:trPr>
          <w:gridAfter w:val="1"/>
          <w:wAfter w:w="17" w:type="dxa"/>
          <w:trHeight w:val="195"/>
          <w:tblHeader/>
          <w:jc w:val="center"/>
        </w:trPr>
        <w:tc>
          <w:tcPr>
            <w:tcW w:w="969" w:type="dxa"/>
            <w:tcBorders>
              <w:top w:val="single" w:sz="4" w:space="0" w:color="auto"/>
              <w:left w:val="single" w:sz="4" w:space="0" w:color="auto"/>
              <w:bottom w:val="nil"/>
              <w:right w:val="single" w:sz="4" w:space="0" w:color="auto"/>
            </w:tcBorders>
            <w:shd w:val="clear" w:color="auto" w:fill="BDD6EE" w:themeFill="accent1" w:themeFillTint="66"/>
            <w:noWrap/>
            <w:vAlign w:val="bottom"/>
          </w:tcPr>
          <w:p w14:paraId="55927866" w14:textId="77777777" w:rsidR="008F673C" w:rsidRPr="00F1446C" w:rsidRDefault="008F673C" w:rsidP="006904AD">
            <w:pPr>
              <w:spacing w:after="0" w:line="240" w:lineRule="auto"/>
              <w:jc w:val="center"/>
              <w:rPr>
                <w:b/>
                <w:sz w:val="18"/>
                <w:szCs w:val="20"/>
              </w:rPr>
            </w:pPr>
            <w:r w:rsidRPr="00F1446C">
              <w:rPr>
                <w:b/>
                <w:sz w:val="18"/>
                <w:szCs w:val="20"/>
              </w:rPr>
              <w:t>Posición</w:t>
            </w:r>
          </w:p>
          <w:p w14:paraId="6F21B293" w14:textId="77777777" w:rsidR="008F673C" w:rsidRPr="00F1446C" w:rsidRDefault="008F673C" w:rsidP="006904AD">
            <w:pPr>
              <w:spacing w:after="0" w:line="240" w:lineRule="auto"/>
              <w:jc w:val="center"/>
              <w:rPr>
                <w:b/>
                <w:sz w:val="18"/>
                <w:szCs w:val="20"/>
              </w:rPr>
            </w:pPr>
            <w:r w:rsidRPr="00F1446C">
              <w:rPr>
                <w:b/>
                <w:sz w:val="18"/>
                <w:szCs w:val="20"/>
              </w:rPr>
              <w:t>Estimada</w:t>
            </w:r>
            <w:r w:rsidRPr="00F1446C">
              <w:rPr>
                <w:b/>
                <w:sz w:val="14"/>
                <w:szCs w:val="20"/>
              </w:rPr>
              <w:t>*</w:t>
            </w:r>
          </w:p>
        </w:tc>
        <w:tc>
          <w:tcPr>
            <w:tcW w:w="3966"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7ACCA337" w14:textId="77777777" w:rsidR="008F673C" w:rsidRPr="00F1446C" w:rsidRDefault="008F673C" w:rsidP="006904AD">
            <w:pPr>
              <w:spacing w:after="0" w:line="240" w:lineRule="auto"/>
              <w:jc w:val="center"/>
              <w:rPr>
                <w:b/>
                <w:sz w:val="18"/>
                <w:szCs w:val="20"/>
              </w:rPr>
            </w:pPr>
            <w:r w:rsidRPr="00F1446C">
              <w:rPr>
                <w:b/>
                <w:sz w:val="18"/>
                <w:szCs w:val="20"/>
              </w:rPr>
              <w:t>Institución</w:t>
            </w:r>
          </w:p>
        </w:tc>
        <w:tc>
          <w:tcPr>
            <w:tcW w:w="971"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179E71E4" w14:textId="77777777" w:rsidR="008F673C" w:rsidRPr="00F1446C" w:rsidRDefault="008F673C" w:rsidP="006904AD">
            <w:pPr>
              <w:spacing w:after="0" w:line="240" w:lineRule="auto"/>
              <w:jc w:val="center"/>
              <w:rPr>
                <w:b/>
                <w:sz w:val="18"/>
                <w:szCs w:val="20"/>
              </w:rPr>
            </w:pPr>
            <w:r w:rsidRPr="00F1446C">
              <w:rPr>
                <w:b/>
                <w:sz w:val="18"/>
                <w:szCs w:val="20"/>
              </w:rPr>
              <w:t>País</w:t>
            </w:r>
          </w:p>
        </w:tc>
        <w:tc>
          <w:tcPr>
            <w:tcW w:w="691"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3483E383" w14:textId="77777777" w:rsidR="008F673C" w:rsidRPr="00F1446C" w:rsidRDefault="008F673C" w:rsidP="006904AD">
            <w:pPr>
              <w:spacing w:after="0" w:line="240" w:lineRule="auto"/>
              <w:jc w:val="center"/>
              <w:rPr>
                <w:b/>
                <w:sz w:val="18"/>
                <w:szCs w:val="20"/>
              </w:rPr>
            </w:pPr>
            <w:r w:rsidRPr="00F1446C">
              <w:rPr>
                <w:b/>
                <w:sz w:val="18"/>
                <w:szCs w:val="20"/>
              </w:rPr>
              <w:t>Alumni</w:t>
            </w:r>
          </w:p>
        </w:tc>
        <w:tc>
          <w:tcPr>
            <w:tcW w:w="692"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2BBEE75" w14:textId="77777777" w:rsidR="008F673C" w:rsidRPr="00F1446C" w:rsidRDefault="008F673C" w:rsidP="006904AD">
            <w:pPr>
              <w:spacing w:after="0" w:line="240" w:lineRule="auto"/>
              <w:jc w:val="center"/>
              <w:rPr>
                <w:b/>
                <w:sz w:val="18"/>
                <w:szCs w:val="20"/>
              </w:rPr>
            </w:pPr>
            <w:r w:rsidRPr="00F1446C">
              <w:rPr>
                <w:b/>
                <w:sz w:val="18"/>
                <w:szCs w:val="20"/>
              </w:rPr>
              <w:t>Award</w:t>
            </w:r>
          </w:p>
        </w:tc>
        <w:tc>
          <w:tcPr>
            <w:tcW w:w="809"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3EB7DE7D" w14:textId="77777777" w:rsidR="008F673C" w:rsidRPr="00F1446C" w:rsidRDefault="008F673C" w:rsidP="006904AD">
            <w:pPr>
              <w:spacing w:after="0" w:line="240" w:lineRule="auto"/>
              <w:jc w:val="center"/>
              <w:rPr>
                <w:b/>
                <w:sz w:val="18"/>
                <w:szCs w:val="20"/>
              </w:rPr>
            </w:pPr>
            <w:r w:rsidRPr="00F1446C">
              <w:rPr>
                <w:b/>
                <w:sz w:val="18"/>
                <w:szCs w:val="20"/>
              </w:rPr>
              <w:t>HiCi</w:t>
            </w:r>
          </w:p>
        </w:tc>
        <w:tc>
          <w:tcPr>
            <w:tcW w:w="809"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2EDF2F0A" w14:textId="77777777" w:rsidR="008F673C" w:rsidRPr="00F1446C" w:rsidRDefault="008F673C" w:rsidP="006904AD">
            <w:pPr>
              <w:spacing w:after="0" w:line="240" w:lineRule="auto"/>
              <w:jc w:val="center"/>
              <w:rPr>
                <w:b/>
                <w:sz w:val="18"/>
                <w:szCs w:val="20"/>
              </w:rPr>
            </w:pPr>
            <w:r w:rsidRPr="00F1446C">
              <w:rPr>
                <w:b/>
                <w:sz w:val="18"/>
                <w:szCs w:val="20"/>
              </w:rPr>
              <w:t>N&amp;S</w:t>
            </w:r>
          </w:p>
        </w:tc>
        <w:tc>
          <w:tcPr>
            <w:tcW w:w="809"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31C4D01" w14:textId="77777777" w:rsidR="008F673C" w:rsidRPr="00F1446C" w:rsidRDefault="008F673C" w:rsidP="006904AD">
            <w:pPr>
              <w:spacing w:after="0" w:line="240" w:lineRule="auto"/>
              <w:jc w:val="center"/>
              <w:rPr>
                <w:b/>
                <w:sz w:val="18"/>
                <w:szCs w:val="20"/>
              </w:rPr>
            </w:pPr>
            <w:r w:rsidRPr="00F1446C">
              <w:rPr>
                <w:b/>
                <w:sz w:val="18"/>
                <w:szCs w:val="20"/>
              </w:rPr>
              <w:t>PUB</w:t>
            </w:r>
          </w:p>
        </w:tc>
        <w:tc>
          <w:tcPr>
            <w:tcW w:w="826"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2FC2E5F2" w14:textId="77777777" w:rsidR="008F673C" w:rsidRPr="00F1446C" w:rsidRDefault="008F673C" w:rsidP="006904AD">
            <w:pPr>
              <w:spacing w:after="0" w:line="240" w:lineRule="auto"/>
              <w:jc w:val="center"/>
              <w:rPr>
                <w:b/>
                <w:sz w:val="18"/>
                <w:szCs w:val="20"/>
              </w:rPr>
            </w:pPr>
            <w:r w:rsidRPr="00F1446C">
              <w:rPr>
                <w:b/>
                <w:sz w:val="18"/>
                <w:szCs w:val="20"/>
              </w:rPr>
              <w:t>PCP</w:t>
            </w:r>
          </w:p>
        </w:tc>
      </w:tr>
      <w:tr w:rsidR="00A61E11" w:rsidRPr="00DE10AD" w14:paraId="76C009B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14CCE"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118</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1DEC3582"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São Paulo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09CD785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2A8DAF3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1886B6A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319117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19.3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3BEAC1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4DC9CE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76.9</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E7B999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17.9</w:t>
            </w:r>
          </w:p>
        </w:tc>
      </w:tr>
      <w:tr w:rsidR="00A61E11" w:rsidRPr="00DE10AD" w14:paraId="2913EEDB"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040FBAF"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181</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043288"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Barcelona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13499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FB434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50ECC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97B2E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21.9</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B64AD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13.3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962D40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52.4</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6DF9C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22.4</w:t>
            </w:r>
          </w:p>
        </w:tc>
      </w:tr>
      <w:tr w:rsidR="00A61E11" w:rsidRPr="00DE10AD" w14:paraId="2211368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F1DC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208</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4AE71DEF"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Lisboa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1F74395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Portugal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48C9489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6CF30F0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7.9</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394DD5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0FBD28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12.1</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7C87E4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52.5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01A13F9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18.1</w:t>
            </w:r>
          </w:p>
        </w:tc>
      </w:tr>
      <w:tr w:rsidR="00A61E11" w:rsidRPr="00DE10AD" w14:paraId="6FCEC2D4"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964EAFA" w14:textId="77777777" w:rsidR="008F673C" w:rsidRPr="00DE10AD" w:rsidRDefault="008F673C" w:rsidP="006904AD">
            <w:pPr>
              <w:spacing w:after="0" w:line="240" w:lineRule="auto"/>
              <w:jc w:val="center"/>
              <w:rPr>
                <w:rFonts w:eastAsia="Times New Roman" w:cstheme="minorHAnsi"/>
                <w:b/>
                <w:bCs/>
                <w:color w:val="0000FF"/>
                <w:sz w:val="18"/>
                <w:szCs w:val="18"/>
                <w:lang w:val="en-US" w:eastAsia="es-MX"/>
              </w:rPr>
            </w:pPr>
            <w:r w:rsidRPr="00DE10AD">
              <w:rPr>
                <w:rFonts w:ascii="Calibri" w:hAnsi="Calibri" w:cs="Calibri"/>
                <w:b/>
                <w:bCs/>
                <w:color w:val="0000FF"/>
                <w:sz w:val="18"/>
                <w:szCs w:val="18"/>
              </w:rPr>
              <w:t>253</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973E50" w14:textId="77777777" w:rsidR="008F673C" w:rsidRPr="00DE10AD" w:rsidRDefault="008F673C" w:rsidP="006904AD">
            <w:pPr>
              <w:spacing w:after="0" w:line="240" w:lineRule="auto"/>
              <w:rPr>
                <w:rFonts w:eastAsia="Times New Roman" w:cstheme="minorHAnsi"/>
                <w:b/>
                <w:bCs/>
                <w:color w:val="000000"/>
                <w:sz w:val="18"/>
                <w:szCs w:val="18"/>
                <w:lang w:eastAsia="es-MX"/>
              </w:rPr>
            </w:pPr>
            <w:r w:rsidRPr="00DE10AD">
              <w:rPr>
                <w:rFonts w:ascii="Calibri" w:hAnsi="Calibri" w:cs="Calibri"/>
                <w:b/>
                <w:bCs/>
                <w:color w:val="000000"/>
                <w:sz w:val="18"/>
                <w:szCs w:val="18"/>
              </w:rPr>
              <w:t>Universidad Nacional Autónoma de México</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3E822D" w14:textId="77777777" w:rsidR="008F673C" w:rsidRPr="00DE10AD" w:rsidRDefault="008F673C" w:rsidP="006904AD">
            <w:pPr>
              <w:spacing w:after="0" w:line="240" w:lineRule="auto"/>
              <w:jc w:val="center"/>
              <w:rPr>
                <w:rFonts w:eastAsia="Times New Roman" w:cstheme="minorHAnsi"/>
                <w:b/>
                <w:bCs/>
                <w:color w:val="000000"/>
                <w:sz w:val="18"/>
                <w:szCs w:val="18"/>
                <w:lang w:val="en-US" w:eastAsia="es-MX"/>
              </w:rPr>
            </w:pPr>
            <w:r w:rsidRPr="00DE10AD">
              <w:rPr>
                <w:rFonts w:ascii="Calibri" w:hAnsi="Calibri" w:cs="Calibri"/>
                <w:b/>
                <w:bCs/>
                <w:color w:val="000000"/>
                <w:sz w:val="18"/>
                <w:szCs w:val="18"/>
              </w:rPr>
              <w:t>México</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14EB5D" w14:textId="77777777" w:rsidR="008F673C" w:rsidRPr="00DE10AD" w:rsidRDefault="008F673C" w:rsidP="006904AD">
            <w:pPr>
              <w:spacing w:after="0" w:line="240" w:lineRule="auto"/>
              <w:jc w:val="center"/>
              <w:rPr>
                <w:rFonts w:eastAsia="Times New Roman" w:cstheme="minorHAnsi"/>
                <w:b/>
                <w:bCs/>
                <w:color w:val="000000"/>
                <w:sz w:val="18"/>
                <w:szCs w:val="18"/>
                <w:lang w:val="en-US" w:eastAsia="es-MX"/>
              </w:rPr>
            </w:pPr>
            <w:r w:rsidRPr="00DE10AD">
              <w:rPr>
                <w:rFonts w:ascii="Calibri" w:hAnsi="Calibri" w:cs="Calibri"/>
                <w:b/>
                <w:bCs/>
                <w:color w:val="000000"/>
                <w:sz w:val="18"/>
                <w:szCs w:val="18"/>
              </w:rPr>
              <w:t>11.9</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A9621A8" w14:textId="77777777" w:rsidR="008F673C" w:rsidRPr="00DE10AD" w:rsidRDefault="008F673C" w:rsidP="006904AD">
            <w:pPr>
              <w:spacing w:after="0" w:line="240" w:lineRule="auto"/>
              <w:jc w:val="center"/>
              <w:rPr>
                <w:rFonts w:eastAsia="Times New Roman" w:cstheme="minorHAnsi"/>
                <w:b/>
                <w:bCs/>
                <w:color w:val="000000"/>
                <w:sz w:val="18"/>
                <w:szCs w:val="18"/>
                <w:lang w:val="en-US" w:eastAsia="es-MX"/>
              </w:rPr>
            </w:pPr>
            <w:r w:rsidRPr="00DE10AD">
              <w:rPr>
                <w:rFonts w:ascii="Calibri" w:hAnsi="Calibri" w:cs="Calibri"/>
                <w:b/>
                <w:bCs/>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95FFD3" w14:textId="77777777" w:rsidR="008F673C" w:rsidRPr="00DE10AD" w:rsidRDefault="008F673C" w:rsidP="006904AD">
            <w:pPr>
              <w:spacing w:after="0" w:line="240" w:lineRule="auto"/>
              <w:jc w:val="center"/>
              <w:rPr>
                <w:rFonts w:eastAsia="Times New Roman" w:cstheme="minorHAnsi"/>
                <w:b/>
                <w:bCs/>
                <w:color w:val="000000"/>
                <w:sz w:val="18"/>
                <w:szCs w:val="18"/>
                <w:lang w:val="en-US" w:eastAsia="es-MX"/>
              </w:rPr>
            </w:pPr>
            <w:r w:rsidRPr="00DE10AD">
              <w:rPr>
                <w:rFonts w:ascii="Calibri" w:hAnsi="Calibri" w:cs="Calibri"/>
                <w:b/>
                <w:bCs/>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841AAB" w14:textId="77777777" w:rsidR="008F673C" w:rsidRPr="00DE10AD" w:rsidRDefault="008F673C" w:rsidP="006904AD">
            <w:pPr>
              <w:spacing w:after="0" w:line="240" w:lineRule="auto"/>
              <w:jc w:val="center"/>
              <w:rPr>
                <w:rFonts w:eastAsia="Times New Roman" w:cstheme="minorHAnsi"/>
                <w:b/>
                <w:bCs/>
                <w:color w:val="000000"/>
                <w:sz w:val="18"/>
                <w:szCs w:val="18"/>
                <w:lang w:val="en-US" w:eastAsia="es-MX"/>
              </w:rPr>
            </w:pPr>
            <w:r w:rsidRPr="00DE10AD">
              <w:rPr>
                <w:rFonts w:ascii="Calibri" w:hAnsi="Calibri" w:cs="Calibri"/>
                <w:b/>
                <w:bCs/>
                <w:color w:val="000000"/>
                <w:sz w:val="18"/>
                <w:szCs w:val="18"/>
              </w:rPr>
              <w:t>11.4</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FFE3DE" w14:textId="77777777" w:rsidR="008F673C" w:rsidRPr="00DE10AD" w:rsidRDefault="008F673C" w:rsidP="006904AD">
            <w:pPr>
              <w:spacing w:after="0" w:line="240" w:lineRule="auto"/>
              <w:jc w:val="center"/>
              <w:rPr>
                <w:rFonts w:eastAsia="Times New Roman" w:cstheme="minorHAnsi"/>
                <w:b/>
                <w:bCs/>
                <w:color w:val="000000"/>
                <w:sz w:val="18"/>
                <w:szCs w:val="18"/>
                <w:lang w:val="en-US" w:eastAsia="es-MX"/>
              </w:rPr>
            </w:pPr>
            <w:r w:rsidRPr="00DE10AD">
              <w:rPr>
                <w:rFonts w:ascii="Calibri" w:hAnsi="Calibri" w:cs="Calibri"/>
                <w:b/>
                <w:bCs/>
                <w:color w:val="000000"/>
                <w:sz w:val="18"/>
                <w:szCs w:val="18"/>
              </w:rPr>
              <w:t>53.9</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D59C01" w14:textId="77777777" w:rsidR="008F673C" w:rsidRPr="00DE10AD" w:rsidRDefault="008F673C" w:rsidP="006904AD">
            <w:pPr>
              <w:spacing w:after="0" w:line="240" w:lineRule="auto"/>
              <w:jc w:val="center"/>
              <w:rPr>
                <w:rFonts w:eastAsia="Times New Roman" w:cstheme="minorHAnsi"/>
                <w:b/>
                <w:bCs/>
                <w:color w:val="000000"/>
                <w:sz w:val="18"/>
                <w:szCs w:val="18"/>
                <w:lang w:val="en-US" w:eastAsia="es-MX"/>
              </w:rPr>
            </w:pPr>
            <w:r w:rsidRPr="00DE10AD">
              <w:rPr>
                <w:rFonts w:ascii="Calibri" w:hAnsi="Calibri" w:cs="Calibri"/>
                <w:b/>
                <w:bCs/>
                <w:color w:val="000000"/>
                <w:sz w:val="18"/>
                <w:szCs w:val="18"/>
              </w:rPr>
              <w:t>22.1</w:t>
            </w:r>
          </w:p>
        </w:tc>
      </w:tr>
      <w:tr w:rsidR="00A61E11" w:rsidRPr="00DE10AD" w14:paraId="4B88FA4B"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53194"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256</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4A1BF0A1"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Granada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2CEB1F9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53289CA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580FA67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B71E23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23.1</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B015B8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6.4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E20752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43.7</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E3B145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17.2</w:t>
            </w:r>
          </w:p>
        </w:tc>
      </w:tr>
      <w:tr w:rsidR="00A61E11" w:rsidRPr="00DE10AD" w14:paraId="5B328E2F"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0F6E629"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263</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E8A7B4"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Autónoma de Barcelona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A76AB6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9AC14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F5640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0A88C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82F05C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11.5</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FD6CF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47.5</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B496EF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23.8</w:t>
            </w:r>
          </w:p>
        </w:tc>
      </w:tr>
      <w:tr w:rsidR="00A61E11" w:rsidRPr="00DE10AD" w14:paraId="10D087D1"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59178"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266</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482A6DC1"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Complutense de Madrid</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1EC151B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7967BF3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16.9</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1C1F07C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D7B427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CB2179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11.1</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73FCA9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46.1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54C727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15.5</w:t>
            </w:r>
          </w:p>
        </w:tc>
      </w:tr>
      <w:tr w:rsidR="00A61E11" w:rsidRPr="00DE10AD" w14:paraId="00C954DA"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AF71A25"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268</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B2C047"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Buenos Aires</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873E8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Argentina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776BFF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11.9</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AF81C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23.2</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11C23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553E66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7.4</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BA1ED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35.1</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3EAEE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17.3</w:t>
            </w:r>
          </w:p>
        </w:tc>
      </w:tr>
      <w:tr w:rsidR="00A61E11" w:rsidRPr="00DE10AD" w14:paraId="01E17F18"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8DCD4"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304</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22CC7C3F"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Oporto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19C749E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Portugal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0D6B655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6C1C3B9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227AA9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6C7168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10.6</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EB8061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46.9</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24CDAFE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20.0</w:t>
            </w:r>
          </w:p>
        </w:tc>
      </w:tr>
      <w:tr w:rsidR="00A61E11" w:rsidRPr="00DE10AD" w14:paraId="47F29064"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2D57736"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311</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4B3501"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Valencia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3D1E6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C5759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3C356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DAC38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8C1AF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8.0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F23DA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46.8</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333E8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17.7</w:t>
            </w:r>
          </w:p>
        </w:tc>
      </w:tr>
      <w:tr w:rsidR="00A61E11" w:rsidRPr="00DE10AD" w14:paraId="3C44AAAC"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A33E1"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355</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19C519A1"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Estatal Paulista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3974F5A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56FFE78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3262B95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06CB2B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5100EB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3.5</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41130D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48.1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28C527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19.4</w:t>
            </w:r>
          </w:p>
        </w:tc>
      </w:tr>
      <w:tr w:rsidR="00A61E11" w:rsidRPr="00DE10AD" w14:paraId="33201328"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1546399"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356</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7DB9A1"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del País Vasco</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B470F2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1E52A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5646B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6E4614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73D4F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12.6</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BE56E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39.9</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118E54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17.5</w:t>
            </w:r>
          </w:p>
        </w:tc>
      </w:tr>
      <w:tr w:rsidR="00A61E11" w:rsidRPr="00DE10AD" w14:paraId="1D07E20B"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BBAE0"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357</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3B8D0472"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Autónoma de Madrid</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2BF05C3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3F0E527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237D963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3F780D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915691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11.4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56D02F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40.0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217FB1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19.4</w:t>
            </w:r>
          </w:p>
        </w:tc>
      </w:tr>
      <w:tr w:rsidR="00A61E11" w:rsidRPr="00DE10AD" w14:paraId="7C70F98C"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2778741"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359</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E8C987C"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Campinas</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C2BF0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26BA7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CD5CE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71CE5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04E42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6.7</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B06C4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45.2</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36B2A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18.4</w:t>
            </w:r>
          </w:p>
        </w:tc>
      </w:tr>
      <w:tr w:rsidR="00A61E11" w:rsidRPr="00DE10AD" w14:paraId="5955B870"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26F51"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364</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651528DA"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Federal de Río Grande del Sur</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77CD166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11E133C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078C225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60E8DF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76A251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6.2</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E1C9DD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42.3</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0AE048C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17.5</w:t>
            </w:r>
          </w:p>
        </w:tc>
      </w:tr>
      <w:tr w:rsidR="00A61E11" w:rsidRPr="00DE10AD" w14:paraId="5C22F47E"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89183F8"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395</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1808E6C"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Politécnica de Valencia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E48A1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99291C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6EFA86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31C763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12.6</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EF42E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8.0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E5FFC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34.7</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92D5D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16.0</w:t>
            </w:r>
          </w:p>
        </w:tc>
      </w:tr>
      <w:tr w:rsidR="00A61E11" w:rsidRPr="00DE10AD" w14:paraId="76F05641"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A7FFB"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399</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61DCA3D6"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Pompeu Fabra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688638E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0042194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02CFF84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F74ACE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A1B3FA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15.9</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266BB5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29.1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A2EF81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35.1</w:t>
            </w:r>
          </w:p>
        </w:tc>
      </w:tr>
      <w:tr w:rsidR="00A61E11" w:rsidRPr="00DE10AD" w14:paraId="1C018D67"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D29FBF6"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423</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EB4126A"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Federal de Río de Janeiro</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D3344B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DF58D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60642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EF3EE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64C0A3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9.1</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E31B17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42.5</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371B38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17.3</w:t>
            </w:r>
          </w:p>
        </w:tc>
      </w:tr>
      <w:tr w:rsidR="00A61E11" w:rsidRPr="00DE10AD" w14:paraId="19816C4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A5AD9"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456</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769BF3AC"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Sevilla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57DFFA3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468EA33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691928C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53E87C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AEABDB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A7C338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39.4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9D2728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14.2</w:t>
            </w:r>
          </w:p>
        </w:tc>
      </w:tr>
      <w:tr w:rsidR="00A61E11" w:rsidRPr="00DE10AD" w14:paraId="5AE895B6"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522DC26"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477</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644BCF"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del Miño</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BD324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Portugal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3E547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3B131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57A26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BFF50C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6.2</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CA645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30.9</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774D9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17.5</w:t>
            </w:r>
          </w:p>
        </w:tc>
      </w:tr>
      <w:tr w:rsidR="00A61E11" w:rsidRPr="00DE10AD" w14:paraId="52B1A3DF"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4AB3"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479</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307277DD"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Salamanca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326D340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2271A2B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7C7D47A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D33FDA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12.6</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E97043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7.7</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28AEC9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27.6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26A2E82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15.9</w:t>
            </w:r>
          </w:p>
        </w:tc>
      </w:tr>
      <w:tr w:rsidR="00A61E11" w:rsidRPr="00DE10AD" w14:paraId="48052288"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3E88239"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484</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9D880E1" w14:textId="77777777" w:rsidR="008F673C" w:rsidRPr="00DE10AD" w:rsidRDefault="008F673C" w:rsidP="006904AD">
            <w:pPr>
              <w:spacing w:after="0" w:line="240" w:lineRule="auto"/>
              <w:rPr>
                <w:rFonts w:eastAsia="Times New Roman" w:cstheme="minorHAnsi"/>
                <w:color w:val="000000"/>
                <w:sz w:val="18"/>
                <w:szCs w:val="18"/>
                <w:lang w:val="pt-BR" w:eastAsia="es-MX"/>
              </w:rPr>
            </w:pPr>
            <w:r w:rsidRPr="00DE10AD">
              <w:rPr>
                <w:rFonts w:ascii="Calibri" w:hAnsi="Calibri" w:cs="Calibri"/>
                <w:color w:val="000000"/>
                <w:sz w:val="18"/>
                <w:szCs w:val="18"/>
                <w:lang w:val="pt-BR"/>
              </w:rPr>
              <w:t>Universidad Federal de Minas Gerais</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D4E5B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7E981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69DA40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8AAECD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4E0DA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6F06C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41.7</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762E55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16.7</w:t>
            </w:r>
          </w:p>
        </w:tc>
      </w:tr>
      <w:tr w:rsidR="00A61E11" w:rsidRPr="00DE10AD" w14:paraId="2489209F"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A92C7"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489</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18AD87D4"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Chile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544097F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Chile</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4D12072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5.3</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47A8BCF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F65C46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E2D064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8.3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057921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36.5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A8D29C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14.9</w:t>
            </w:r>
          </w:p>
        </w:tc>
      </w:tr>
      <w:tr w:rsidR="00A61E11" w:rsidRPr="00DE10AD" w14:paraId="31BAA65C"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BB53F5D"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496</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4CB731"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Santiago de Compostela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1C959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A2891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71C75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F83C5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301EE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6.7</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1FB9A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32.7</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21F4D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15.4</w:t>
            </w:r>
          </w:p>
        </w:tc>
      </w:tr>
      <w:tr w:rsidR="00A61E11" w:rsidRPr="00DE10AD" w14:paraId="6E90A8FF"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CF17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510</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1A191703"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Vigo</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4F94965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1257A58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4775E86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162D39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14.6</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75C764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3.8</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132C95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26.1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24626A3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17.1</w:t>
            </w:r>
          </w:p>
        </w:tc>
      </w:tr>
      <w:tr w:rsidR="00A61E11" w:rsidRPr="00DE10AD" w14:paraId="7FD248E0"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EB03E9D"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522</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A5EF02B"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Coímbra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30610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Portugal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6067D3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1FD973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89E1D3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D304A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7.4</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66F77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35.5</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30D7C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18.0</w:t>
            </w:r>
          </w:p>
        </w:tc>
      </w:tr>
      <w:tr w:rsidR="00A61E11" w:rsidRPr="00DE10AD" w14:paraId="7DFC9C6E"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2AEF0"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524</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363E06E1"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Pontificia Universidad Católica de Chile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049AA97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Chile</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3C64689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730D365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CEA2DA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EE714C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9.8</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213C77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34.8</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BD8FA0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14.3</w:t>
            </w:r>
          </w:p>
        </w:tc>
      </w:tr>
      <w:tr w:rsidR="00A61E11" w:rsidRPr="00DE10AD" w14:paraId="13537438"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F0A29A9"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559</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ED226C"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Brasilia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B4E3D8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39B825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FE5229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6C0D6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04A5A5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78B19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31.0</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42D78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12.8</w:t>
            </w:r>
          </w:p>
        </w:tc>
      </w:tr>
      <w:tr w:rsidR="00A61E11" w:rsidRPr="00DE10AD" w14:paraId="63528A2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E4CD5"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565</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6AF63B9A"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Instituto Politécnico Nacional</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035973F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México</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19C194B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32739BE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830E22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661E2D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4.7</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447392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37.5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0B69579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15.0</w:t>
            </w:r>
          </w:p>
        </w:tc>
      </w:tr>
      <w:tr w:rsidR="00A61E11" w:rsidRPr="00DE10AD" w14:paraId="62B92FBE"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08A165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568</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C88C9B8"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Zaragoza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6AF934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B0DE6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50312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7AF0C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72BD2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CF855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34.9</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3B445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14.9</w:t>
            </w:r>
          </w:p>
        </w:tc>
      </w:tr>
      <w:tr w:rsidR="00A61E11" w:rsidRPr="00DE10AD" w14:paraId="53487B2A"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97512"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574</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69BD26B4"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Navarra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1882A84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677E59F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754D94E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C56ECD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14.6</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DC7C1B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35EDD9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24.2</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0967197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11.4</w:t>
            </w:r>
          </w:p>
        </w:tc>
      </w:tr>
      <w:tr w:rsidR="00A61E11" w:rsidRPr="00DE10AD" w14:paraId="6A75F02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EA9D60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581</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855163"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Rovira i Virgili</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9904AA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8D0D6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149459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FEE1C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27A2A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4.5</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97859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25.6</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ED7A3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23.2</w:t>
            </w:r>
          </w:p>
        </w:tc>
      </w:tr>
      <w:tr w:rsidR="00A61E11" w:rsidRPr="00DE10AD" w14:paraId="3FDEF49B"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A40F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597</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57EBEE52"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Politécnica de Madrid</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1122936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767DF1E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58B5B45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DD5031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FE36E4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7.8</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3098D9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33.2</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08A2CA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14.0</w:t>
            </w:r>
          </w:p>
        </w:tc>
      </w:tr>
      <w:tr w:rsidR="00A61E11" w:rsidRPr="00DE10AD" w14:paraId="700A1A71"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75AA929"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601</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187558"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Alicante</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5A769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683DBC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93ADE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B8412E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D5C53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5.2</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FBA9B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27.6</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AAD06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15.6</w:t>
            </w:r>
          </w:p>
        </w:tc>
      </w:tr>
      <w:tr w:rsidR="00A61E11" w:rsidRPr="00DE10AD" w14:paraId="450C6174"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55A36"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629</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38829884"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Jaime I</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0521E41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0036E0B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5457174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C25005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12.6</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28B1A5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D7F5F4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22.8</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2A777D3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19.7</w:t>
            </w:r>
          </w:p>
        </w:tc>
      </w:tr>
      <w:tr w:rsidR="00A61E11" w:rsidRPr="00DE10AD" w14:paraId="3939897A"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703863F"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630</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41CFF7"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Aveiro</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0D40F9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Portugal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67246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EBF8E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B98BD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35A42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3.9</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E7FE5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31.9</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14CE4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21.6</w:t>
            </w:r>
          </w:p>
        </w:tc>
      </w:tr>
      <w:tr w:rsidR="00A61E11" w:rsidRPr="00DE10AD" w14:paraId="23155FD7"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BDC72"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651</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3224E1B3"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Extremadura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4BF3533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50CD226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68ACA73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2971FB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AA7FD8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9B511C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1278104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15.6</w:t>
            </w:r>
          </w:p>
        </w:tc>
      </w:tr>
      <w:tr w:rsidR="00A61E11" w:rsidRPr="00DE10AD" w14:paraId="14FE64C7"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60A921A"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655</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939E80"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Federal de Paraná</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34710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E14C9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454E4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D7A29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085AE0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71682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35.4</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B6844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14.1</w:t>
            </w:r>
          </w:p>
        </w:tc>
      </w:tr>
      <w:tr w:rsidR="00A61E11" w:rsidRPr="00DE10AD" w14:paraId="5443166D"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CE1D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672</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32219E46"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Nueva de Lisboa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4EC1A5E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Portugal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7605FA1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5E580B2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2B116C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EC2FBC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941B8F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28.8</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1961B40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16.4</w:t>
            </w:r>
          </w:p>
        </w:tc>
      </w:tr>
      <w:tr w:rsidR="00A61E11" w:rsidRPr="00DE10AD" w14:paraId="1D11DBCB"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CC036CE"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683</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034331" w14:textId="77777777" w:rsidR="008F673C" w:rsidRPr="00DE10AD" w:rsidRDefault="008F673C" w:rsidP="006904AD">
            <w:pPr>
              <w:spacing w:after="0" w:line="240" w:lineRule="auto"/>
              <w:rPr>
                <w:rFonts w:eastAsia="Times New Roman" w:cstheme="minorHAnsi"/>
                <w:color w:val="000000"/>
                <w:sz w:val="18"/>
                <w:szCs w:val="18"/>
                <w:lang w:val="pt-BR" w:eastAsia="es-MX"/>
              </w:rPr>
            </w:pPr>
            <w:r w:rsidRPr="00DE10AD">
              <w:rPr>
                <w:rFonts w:ascii="Calibri" w:hAnsi="Calibri" w:cs="Calibri"/>
                <w:color w:val="000000"/>
                <w:sz w:val="18"/>
                <w:szCs w:val="18"/>
                <w:lang w:val="pt-BR"/>
              </w:rPr>
              <w:t>Universidad Federal de São Paulo</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359E2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00C82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0AA04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B2F10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D44B7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3.2</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60E6F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33.5</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8A0C9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13.4</w:t>
            </w:r>
          </w:p>
        </w:tc>
      </w:tr>
      <w:tr w:rsidR="00A61E11" w:rsidRPr="00DE10AD" w14:paraId="7CEEC0BC"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9B39E"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686</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47DC8911"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Federal de Santa Catarina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728334C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2E8BB95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41510CC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D64ED0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3E666F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907B18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34.5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7330FB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13.7</w:t>
            </w:r>
          </w:p>
        </w:tc>
      </w:tr>
      <w:tr w:rsidR="00A61E11" w:rsidRPr="00DE10AD" w14:paraId="28956DF5"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E64E3CE"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687</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844B40"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las Islas Baleares</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147A20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41ECC5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92067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0FC96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AF654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3.5</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CC3A1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23.2</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DDE48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18.7</w:t>
            </w:r>
          </w:p>
        </w:tc>
      </w:tr>
      <w:tr w:rsidR="00A61E11" w:rsidRPr="00DE10AD" w14:paraId="232EE785"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81218"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701</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55CADE23"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Murcia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62B8C02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64AF7C8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3B49B01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4F478A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1C4AD6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5.9</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13C238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29.5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2B2AC75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14.4</w:t>
            </w:r>
          </w:p>
        </w:tc>
      </w:tr>
      <w:tr w:rsidR="00A61E11" w:rsidRPr="00DE10AD" w14:paraId="6BC752C3"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9749DA6"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703</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9D0DC51"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Oviedo</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A108A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D6113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75E377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4822EE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4D9AD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6.9</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9395AC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28.9</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5B909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13.5</w:t>
            </w:r>
          </w:p>
        </w:tc>
      </w:tr>
      <w:tr w:rsidR="00A61E11" w:rsidRPr="00DE10AD" w14:paraId="7AC2938C"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EF58E"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718</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30DF2606"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Málaga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7BC27B0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6EF7E83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3794198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7A4865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DC2B53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1ADB66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30.5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003B373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14.2</w:t>
            </w:r>
          </w:p>
        </w:tc>
      </w:tr>
      <w:tr w:rsidR="00A61E11" w:rsidRPr="00DE10AD" w14:paraId="78B41C3A"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5A34CC8"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723</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4C53FBE"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La Laguna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E2B208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8AF5D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9051D8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4BA72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576EF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10.5</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48A26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24.1</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B8BAE8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13.8</w:t>
            </w:r>
          </w:p>
        </w:tc>
      </w:tr>
      <w:tr w:rsidR="00A61E11" w:rsidRPr="00DE10AD" w14:paraId="456AA658"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BE870"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728</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4E00E4D5"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Lérida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1357988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2283EC2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3A0878D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21027D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0D65B1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A7193D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18.9</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22417D2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20.2</w:t>
            </w:r>
          </w:p>
        </w:tc>
      </w:tr>
      <w:tr w:rsidR="00A61E11" w:rsidRPr="00DE10AD" w14:paraId="0C17EE19"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77C56C3"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731</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1933AE"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Federal de Pelotas</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E086E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A547C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0C0808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0F9AF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B8494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9E0CD7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23.7</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037147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r>
      <w:tr w:rsidR="00A61E11" w:rsidRPr="00DE10AD" w14:paraId="614DF23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5EDA8"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735</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1D4AFED4"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Federal Fluminense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611ED8B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776CCC2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23E1E98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CC90B1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7BBD89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C70BAC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24.3</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BBB08D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10.2</w:t>
            </w:r>
          </w:p>
        </w:tc>
      </w:tr>
      <w:tr w:rsidR="00A61E11" w:rsidRPr="00DE10AD" w14:paraId="6956F274"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65151D1"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740</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BC76BF"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Politécnica de Cataluña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24639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0D686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6B1B7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08D11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4914D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5.4</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CB0BD7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28.0</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3615DC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14.7</w:t>
            </w:r>
          </w:p>
        </w:tc>
      </w:tr>
      <w:tr w:rsidR="00A61E11" w:rsidRPr="00DE10AD" w14:paraId="6213411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04C91"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742</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6BA63D40"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Jaén</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6388B3A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0E6069E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23CC90A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9D60B3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3783D4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6D49F6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21.9</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35F3B92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16.8</w:t>
            </w:r>
          </w:p>
        </w:tc>
      </w:tr>
      <w:tr w:rsidR="00A61E11" w:rsidRPr="00DE10AD" w14:paraId="35C27074"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7B42DF4"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767</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539805" w14:textId="77777777" w:rsidR="008F673C" w:rsidRPr="00DE10AD" w:rsidRDefault="008F673C" w:rsidP="006904AD">
            <w:pPr>
              <w:spacing w:after="0" w:line="240" w:lineRule="auto"/>
              <w:rPr>
                <w:rFonts w:eastAsia="Times New Roman" w:cstheme="minorHAnsi"/>
                <w:color w:val="000000"/>
                <w:sz w:val="18"/>
                <w:szCs w:val="18"/>
                <w:lang w:val="pt-BR" w:eastAsia="es-MX"/>
              </w:rPr>
            </w:pPr>
            <w:r w:rsidRPr="00DE10AD">
              <w:rPr>
                <w:rFonts w:ascii="Calibri" w:hAnsi="Calibri" w:cs="Calibri"/>
                <w:color w:val="000000"/>
                <w:sz w:val="18"/>
                <w:szCs w:val="18"/>
                <w:lang w:val="pt-BR"/>
              </w:rPr>
              <w:t>Universidad Federal de São Carlos</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FBE25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D27EF0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0092F3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6524D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242964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3.9</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8D2C4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29.4</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E8F9C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11.8</w:t>
            </w:r>
          </w:p>
        </w:tc>
      </w:tr>
      <w:tr w:rsidR="00A61E11" w:rsidRPr="00DE10AD" w14:paraId="54690039"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0D7F8"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778</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414A5063"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Castilla-La Mancha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5AFAB33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5EBA293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26CCBDF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7A1489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16971E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542E66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28.8</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28F096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15.9</w:t>
            </w:r>
          </w:p>
        </w:tc>
      </w:tr>
      <w:tr w:rsidR="00A61E11" w:rsidRPr="00DE10AD" w14:paraId="47D21C53"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B3A66F1"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809</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8C1C64"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Federal del Ceará</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C2A174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CC98D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0FA4C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432379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58C9ED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B73E6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27.6</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E2DA0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11.1</w:t>
            </w:r>
          </w:p>
        </w:tc>
      </w:tr>
      <w:tr w:rsidR="00A61E11" w:rsidRPr="00DE10AD" w14:paraId="4339E610"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56C53"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819</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196993A2"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Córdoba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02515B6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062C8F6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76864E7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97D193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F3D368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A62F52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26.4</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1638D8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16.7</w:t>
            </w:r>
          </w:p>
        </w:tc>
      </w:tr>
      <w:tr w:rsidR="00A61E11" w:rsidRPr="00DE10AD" w14:paraId="20A0E60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F3BC21D"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820</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292A541"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Nacional de Colombia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EDA9CD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Colombia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BF78A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383D63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BDBD0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0935C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608EF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27.4</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58C59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11.0</w:t>
            </w:r>
          </w:p>
        </w:tc>
      </w:tr>
      <w:tr w:rsidR="00A61E11" w:rsidRPr="00DE10AD" w14:paraId="46972AC1"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49E63"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824</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615D16A0"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Girona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4B39F01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08BC4E6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3B190AD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AC23EF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8F54CB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58BCB1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23.9</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2EF9F77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20.2</w:t>
            </w:r>
          </w:p>
        </w:tc>
      </w:tr>
      <w:tr w:rsidR="00A61E11" w:rsidRPr="00DE10AD" w14:paraId="7EA01807"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050137E"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830</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089966"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Federal de Pernambuco</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3F1A29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F8429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A1F87B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A6C17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59A6D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63269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28.9</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ECBE1B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11.5</w:t>
            </w:r>
          </w:p>
        </w:tc>
      </w:tr>
      <w:tr w:rsidR="00A61E11" w:rsidRPr="00DE10AD" w14:paraId="6ACA5EF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6B4D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846</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0815408E"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Las Palmas de Gran Canaria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325A38E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4A454A3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5F3DBD9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E9FCD0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389910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F8ECE8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19.7</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496085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13.4</w:t>
            </w:r>
          </w:p>
        </w:tc>
      </w:tr>
      <w:tr w:rsidR="00A61E11" w:rsidRPr="00DE10AD" w14:paraId="33F7FA39"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0A96159"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853</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0881DA"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Alcalá</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6A5F0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CCCA1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4729F5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56A5A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1E504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3.8</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FADF1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24.8</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F4CE4F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14.8</w:t>
            </w:r>
          </w:p>
        </w:tc>
      </w:tr>
      <w:tr w:rsidR="00A61E11" w:rsidRPr="00DE10AD" w14:paraId="1382AE7E"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71C2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861</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0210980F"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Federal de Goiás</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51A6234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6DA464F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56C2201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056BDF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AC3A1B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E20182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04AE01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10.4</w:t>
            </w:r>
          </w:p>
        </w:tc>
      </w:tr>
      <w:tr w:rsidR="00A61E11" w:rsidRPr="00DE10AD" w14:paraId="352DF67B"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76CC1B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864</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2511859"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Nacional de La Plata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C1FDA0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Argentina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FB6A1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22261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D1BEE2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38B8DE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4.7</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CED09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25.9</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824571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10.4</w:t>
            </w:r>
          </w:p>
        </w:tc>
      </w:tr>
      <w:tr w:rsidR="00A61E11" w:rsidRPr="00DE10AD" w14:paraId="0CC83057"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5A074"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866</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52F95ED3"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Pablo de Olavide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43B7B8F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7A3ECBC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561D073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2AA5BC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C901E9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6.6</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FF14D6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19.1</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733797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20.1</w:t>
            </w:r>
          </w:p>
        </w:tc>
      </w:tr>
      <w:tr w:rsidR="00A61E11" w:rsidRPr="00DE10AD" w14:paraId="4568AE0A"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6F3262F"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868</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90CDC32"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Concepción</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D68659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Chile</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90D721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DEFDA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B6B27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E91FD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5.4</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76BC0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25.2</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17C18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10.2</w:t>
            </w:r>
          </w:p>
        </w:tc>
      </w:tr>
      <w:tr w:rsidR="00A61E11" w:rsidRPr="00DE10AD" w14:paraId="29E53914"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9867B"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871</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28D8F626"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Federal de Río Grande del Norte</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2667E50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7AC8F8A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0AF72B3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741475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E5A286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4.5</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3CCA47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25.9</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CCDAFF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10.4</w:t>
            </w:r>
          </w:p>
        </w:tc>
      </w:tr>
      <w:tr w:rsidR="00A61E11" w:rsidRPr="00DE10AD" w14:paraId="571BD191"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9CB88B5"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895</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0487CCA"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Andrés Bello</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E846F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Chile</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4F68B9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567D0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07F0A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1A71DF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3.2</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355FA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20.3</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1A44C9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8.6</w:t>
            </w:r>
          </w:p>
        </w:tc>
      </w:tr>
      <w:tr w:rsidR="00A61E11" w:rsidRPr="00DE10AD" w14:paraId="61640D57"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379C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905</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74A463F1"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Federal de Viçosa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619B16C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15C59E7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595C403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4317B4A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F793EA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964A4E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27.5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5516A92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10.9</w:t>
            </w:r>
          </w:p>
        </w:tc>
      </w:tr>
      <w:tr w:rsidR="00A61E11" w:rsidRPr="00DE10AD" w14:paraId="26D7C6DE"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660AA15"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918</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569BB8C"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Federal de Mato Grosso del Sur</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44CD47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805EB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BF02E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E0138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598B7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3.2</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4920C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26.1</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87AB75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10.4</w:t>
            </w:r>
          </w:p>
        </w:tc>
      </w:tr>
      <w:tr w:rsidR="00A61E11" w:rsidRPr="00DE10AD" w14:paraId="77F3E22B"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4F2B6"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921</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56101592"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Cantabria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421859A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3B335C4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3C6864D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BF068E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0F59B5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3.8</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954691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22.5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06514C9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16.2</w:t>
            </w:r>
          </w:p>
        </w:tc>
      </w:tr>
      <w:tr w:rsidR="00A61E11" w:rsidRPr="00DE10AD" w14:paraId="46FF6B13"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23876FE"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924</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B39D35A"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Los Andes (Colombia)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6DFEC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Colombia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D5203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42CA9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628AD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7.3</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76779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4.7</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D58E0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18.3</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B67DA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8.0</w:t>
            </w:r>
          </w:p>
        </w:tc>
      </w:tr>
      <w:tr w:rsidR="00A61E11" w:rsidRPr="00DE10AD" w14:paraId="1A1B268A"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B9809"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946</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6AC46CD4"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Rey Juan Carlos</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0C8FFFD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0B57D56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43A347A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A01C7E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16000F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4.5</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3B1258E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21.8</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49E966D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14.6</w:t>
            </w:r>
          </w:p>
        </w:tc>
      </w:tr>
      <w:tr w:rsidR="00A61E11" w:rsidRPr="00DE10AD" w14:paraId="472B7C22"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EA24D35"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955</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78B242"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Carlos III de Madrid</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5B7D2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8DDC9B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F913FCF"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249D47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68EB9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3.0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521E9B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23.0</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10F689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14.9</w:t>
            </w:r>
          </w:p>
        </w:tc>
      </w:tr>
      <w:tr w:rsidR="00A61E11" w:rsidRPr="00DE10AD" w14:paraId="2DDA8857"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60F0C"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956</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1CBC3DD7"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Nacional de Córdoba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7C9D2BF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Argentina</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34AC417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4F57C4E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75298983"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558D5E4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6.2</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B659A3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22.6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73DAD99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9.3</w:t>
            </w:r>
          </w:p>
        </w:tc>
      </w:tr>
      <w:tr w:rsidR="00A61E11" w:rsidRPr="00DE10AD" w14:paraId="62A64D33"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3AD4FA4"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958</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AD51ED9"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de Valladolid</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D0D1D4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28502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498E16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0D286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D2EEE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2.9</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623C95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24.4</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5EFFC14"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12.1</w:t>
            </w:r>
          </w:p>
        </w:tc>
      </w:tr>
      <w:tr w:rsidR="00A61E11" w:rsidRPr="00DE10AD" w14:paraId="40E77B07"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C97BD"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966</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2F85EAF4"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Federal de Bahía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3F935C72"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134E580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3F9403D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C64669D"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22C15327"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2.9</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D9FC8E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25.2</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25EAEF3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10.1</w:t>
            </w:r>
          </w:p>
        </w:tc>
      </w:tr>
      <w:tr w:rsidR="00A61E11" w:rsidRPr="00DE10AD" w14:paraId="69C1E09A"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B678CEB"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979</w:t>
            </w:r>
          </w:p>
        </w:tc>
        <w:tc>
          <w:tcPr>
            <w:tcW w:w="396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95D0E4" w14:textId="77777777" w:rsidR="008F673C" w:rsidRPr="00DE10AD" w:rsidRDefault="008F673C" w:rsidP="006904AD">
            <w:pPr>
              <w:spacing w:after="0" w:line="240" w:lineRule="auto"/>
              <w:rPr>
                <w:rFonts w:eastAsia="Times New Roman" w:cstheme="minorHAnsi"/>
                <w:color w:val="000000"/>
                <w:sz w:val="18"/>
                <w:szCs w:val="18"/>
                <w:lang w:val="en-US" w:eastAsia="es-MX"/>
              </w:rPr>
            </w:pPr>
            <w:r w:rsidRPr="00DE10AD">
              <w:rPr>
                <w:rFonts w:ascii="Calibri" w:hAnsi="Calibri" w:cs="Calibri"/>
                <w:color w:val="000000"/>
                <w:sz w:val="18"/>
                <w:szCs w:val="18"/>
              </w:rPr>
              <w:t>Universidad de Almería</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47B732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España</w:t>
            </w:r>
          </w:p>
        </w:tc>
        <w:tc>
          <w:tcPr>
            <w:tcW w:w="69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FE4F9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40A116"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70902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57D741"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2.0</w:t>
            </w:r>
          </w:p>
        </w:tc>
        <w:tc>
          <w:tcPr>
            <w:tcW w:w="80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4E9A86A"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22.7</w:t>
            </w:r>
          </w:p>
        </w:tc>
        <w:tc>
          <w:tcPr>
            <w:tcW w:w="8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EEAF25"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15.9</w:t>
            </w:r>
          </w:p>
        </w:tc>
      </w:tr>
      <w:tr w:rsidR="00A61E11" w:rsidRPr="00DE10AD" w14:paraId="5B3C9A6D" w14:textId="77777777" w:rsidTr="00A61E11">
        <w:trPr>
          <w:gridAfter w:val="1"/>
          <w:wAfter w:w="17" w:type="dxa"/>
          <w:trHeight w:val="146"/>
          <w:jc w:val="center"/>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25CB2" w14:textId="77777777" w:rsidR="008F673C" w:rsidRPr="00DE10AD" w:rsidRDefault="008F673C" w:rsidP="006904AD">
            <w:pPr>
              <w:spacing w:after="0" w:line="240" w:lineRule="auto"/>
              <w:jc w:val="center"/>
              <w:rPr>
                <w:rFonts w:eastAsia="Times New Roman" w:cstheme="minorHAnsi"/>
                <w:color w:val="0000FF"/>
                <w:sz w:val="18"/>
                <w:szCs w:val="18"/>
                <w:lang w:val="en-US" w:eastAsia="es-MX"/>
              </w:rPr>
            </w:pPr>
            <w:r w:rsidRPr="00DE10AD">
              <w:rPr>
                <w:rFonts w:ascii="Calibri" w:hAnsi="Calibri" w:cs="Calibri"/>
                <w:color w:val="0000FF"/>
                <w:sz w:val="18"/>
                <w:szCs w:val="18"/>
              </w:rPr>
              <w:t>990</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bottom"/>
          </w:tcPr>
          <w:p w14:paraId="1A3AEFF5" w14:textId="77777777" w:rsidR="008F673C" w:rsidRPr="00DE10AD" w:rsidRDefault="008F673C" w:rsidP="006904AD">
            <w:pPr>
              <w:spacing w:after="0" w:line="240" w:lineRule="auto"/>
              <w:rPr>
                <w:rFonts w:eastAsia="Times New Roman" w:cstheme="minorHAnsi"/>
                <w:color w:val="000000"/>
                <w:sz w:val="18"/>
                <w:szCs w:val="18"/>
                <w:lang w:eastAsia="es-MX"/>
              </w:rPr>
            </w:pPr>
            <w:r w:rsidRPr="00DE10AD">
              <w:rPr>
                <w:rFonts w:ascii="Calibri" w:hAnsi="Calibri" w:cs="Calibri"/>
                <w:color w:val="000000"/>
                <w:sz w:val="18"/>
                <w:szCs w:val="18"/>
              </w:rPr>
              <w:t>Universidad Federal de Santa María</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14:paraId="621454EE"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Brasil</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tcPr>
          <w:p w14:paraId="410B20E0"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62F9193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09499679"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671E4F9C"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0.0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bottom"/>
          </w:tcPr>
          <w:p w14:paraId="10E10198"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27.0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2306E99B" w14:textId="77777777" w:rsidR="008F673C" w:rsidRPr="00DE10AD" w:rsidRDefault="008F673C" w:rsidP="006904AD">
            <w:pPr>
              <w:spacing w:after="0" w:line="240" w:lineRule="auto"/>
              <w:jc w:val="center"/>
              <w:rPr>
                <w:rFonts w:eastAsia="Times New Roman" w:cstheme="minorHAnsi"/>
                <w:color w:val="000000"/>
                <w:sz w:val="18"/>
                <w:szCs w:val="18"/>
                <w:lang w:val="en-US" w:eastAsia="es-MX"/>
              </w:rPr>
            </w:pPr>
            <w:r w:rsidRPr="00DE10AD">
              <w:rPr>
                <w:rFonts w:ascii="Calibri" w:hAnsi="Calibri" w:cs="Calibri"/>
                <w:color w:val="000000"/>
                <w:sz w:val="18"/>
                <w:szCs w:val="18"/>
              </w:rPr>
              <w:t>10.7</w:t>
            </w:r>
          </w:p>
        </w:tc>
      </w:tr>
      <w:tr w:rsidR="008F673C" w:rsidRPr="00F1446C" w14:paraId="291C1636" w14:textId="77777777" w:rsidTr="00A61E11">
        <w:trPr>
          <w:trHeight w:val="36"/>
          <w:jc w:val="center"/>
        </w:trPr>
        <w:tc>
          <w:tcPr>
            <w:tcW w:w="10559" w:type="dxa"/>
            <w:gridSpan w:val="10"/>
            <w:tcBorders>
              <w:top w:val="single" w:sz="4" w:space="0" w:color="auto"/>
            </w:tcBorders>
            <w:shd w:val="clear" w:color="auto" w:fill="auto"/>
            <w:noWrap/>
            <w:vAlign w:val="center"/>
          </w:tcPr>
          <w:p w14:paraId="3EFD2D80" w14:textId="77777777" w:rsidR="008F673C" w:rsidRPr="00F1446C" w:rsidRDefault="008F673C" w:rsidP="006904AD">
            <w:pPr>
              <w:spacing w:after="0" w:line="240" w:lineRule="auto"/>
              <w:rPr>
                <w:rFonts w:ascii="Calibri" w:eastAsia="Times New Roman" w:hAnsi="Calibri" w:cs="Times New Roman"/>
                <w:bCs/>
                <w:color w:val="000000"/>
                <w:sz w:val="14"/>
                <w:szCs w:val="16"/>
                <w:lang w:eastAsia="es-MX"/>
              </w:rPr>
            </w:pPr>
            <w:r w:rsidRPr="00F1446C">
              <w:rPr>
                <w:rFonts w:ascii="Calibri" w:eastAsia="Times New Roman" w:hAnsi="Calibri" w:cs="Times New Roman"/>
                <w:bCs/>
                <w:color w:val="000000"/>
                <w:sz w:val="14"/>
                <w:szCs w:val="16"/>
                <w:lang w:eastAsia="es-MX"/>
              </w:rPr>
              <w:t xml:space="preserve">* </w:t>
            </w:r>
            <w:r w:rsidRPr="00F1446C">
              <w:rPr>
                <w:rFonts w:ascii="Calibri" w:eastAsia="Times New Roman" w:hAnsi="Calibri" w:cs="Times New Roman"/>
                <w:color w:val="000000"/>
                <w:sz w:val="14"/>
                <w:szCs w:val="16"/>
                <w:lang w:eastAsia="es-MX"/>
              </w:rPr>
              <w:t xml:space="preserve">Ordenando </w:t>
            </w:r>
            <w:r w:rsidRPr="00F1446C">
              <w:rPr>
                <w:rFonts w:ascii="Calibri" w:eastAsia="Times New Roman" w:hAnsi="Calibri" w:cs="Times New Roman"/>
                <w:bCs/>
                <w:color w:val="000000"/>
                <w:sz w:val="14"/>
                <w:szCs w:val="16"/>
                <w:lang w:eastAsia="es-MX"/>
              </w:rPr>
              <w:t>por la posición estimada obtenida en 2021.</w:t>
            </w:r>
          </w:p>
          <w:p w14:paraId="11C7628B" w14:textId="77777777" w:rsidR="008F673C" w:rsidRPr="00F1446C" w:rsidRDefault="008F673C" w:rsidP="006904AD">
            <w:pPr>
              <w:spacing w:after="0" w:line="240" w:lineRule="auto"/>
              <w:rPr>
                <w:rFonts w:ascii="Calibri" w:eastAsia="Times New Roman" w:hAnsi="Calibri" w:cs="Times New Roman"/>
                <w:bCs/>
                <w:color w:val="000000"/>
                <w:sz w:val="14"/>
                <w:szCs w:val="16"/>
                <w:lang w:eastAsia="es-MX"/>
              </w:rPr>
            </w:pPr>
            <w:r w:rsidRPr="00F1446C">
              <w:rPr>
                <w:rFonts w:ascii="Calibri" w:eastAsia="Times New Roman" w:hAnsi="Calibri" w:cs="Times New Roman"/>
                <w:bCs/>
                <w:color w:val="000000"/>
                <w:sz w:val="14"/>
                <w:szCs w:val="16"/>
                <w:lang w:eastAsia="es-MX"/>
              </w:rPr>
              <w:t>** Las posiciones generales en color azul fueron estimadas por la Dirección General de Evaluación Institucional (DGEI-UNAM).</w:t>
            </w:r>
          </w:p>
        </w:tc>
      </w:tr>
    </w:tbl>
    <w:p w14:paraId="1ECC03E3" w14:textId="77777777" w:rsidR="00F57CA5" w:rsidRDefault="00F57CA5" w:rsidP="00F57CA5">
      <w:pPr>
        <w:pStyle w:val="ListParagraph"/>
        <w:spacing w:after="0" w:line="240" w:lineRule="auto"/>
        <w:ind w:left="0"/>
        <w:jc w:val="both"/>
        <w:rPr>
          <w:sz w:val="24"/>
        </w:rPr>
      </w:pPr>
    </w:p>
    <w:p w14:paraId="79441E93" w14:textId="49046E84" w:rsidR="00413B2A" w:rsidRDefault="00413B2A" w:rsidP="00920BDC">
      <w:pPr>
        <w:pStyle w:val="ListParagraph"/>
        <w:numPr>
          <w:ilvl w:val="0"/>
          <w:numId w:val="1"/>
        </w:numPr>
        <w:spacing w:after="0" w:line="240" w:lineRule="auto"/>
        <w:ind w:left="0"/>
        <w:jc w:val="both"/>
        <w:rPr>
          <w:sz w:val="24"/>
        </w:rPr>
      </w:pPr>
      <w:r>
        <w:rPr>
          <w:sz w:val="24"/>
        </w:rPr>
        <w:t xml:space="preserve">En la región de América Latina fueron clasificadas </w:t>
      </w:r>
      <w:r w:rsidRPr="001F07A9">
        <w:rPr>
          <w:sz w:val="24"/>
        </w:rPr>
        <w:t>32 universidades de 5 países (25 Brasil,</w:t>
      </w:r>
      <w:r w:rsidR="007C30FC">
        <w:rPr>
          <w:sz w:val="24"/>
        </w:rPr>
        <w:t xml:space="preserve"> </w:t>
      </w:r>
      <w:r w:rsidRPr="001F07A9">
        <w:rPr>
          <w:sz w:val="24"/>
        </w:rPr>
        <w:t xml:space="preserve">4 Chile, 3 Argentina, 2 Colombia </w:t>
      </w:r>
      <w:r w:rsidR="00A74B58">
        <w:rPr>
          <w:sz w:val="24"/>
        </w:rPr>
        <w:t xml:space="preserve">y </w:t>
      </w:r>
      <w:r w:rsidRPr="001F07A9">
        <w:rPr>
          <w:sz w:val="24"/>
        </w:rPr>
        <w:t>2 México).</w:t>
      </w:r>
    </w:p>
    <w:p w14:paraId="281DF909" w14:textId="1FC7CD48" w:rsidR="007C30FC" w:rsidRPr="00A74B58" w:rsidRDefault="007C30FC" w:rsidP="00A74B58">
      <w:pPr>
        <w:pStyle w:val="ListParagraph"/>
        <w:numPr>
          <w:ilvl w:val="0"/>
          <w:numId w:val="1"/>
        </w:numPr>
        <w:spacing w:after="0" w:line="240" w:lineRule="auto"/>
        <w:ind w:left="0"/>
        <w:jc w:val="both"/>
        <w:rPr>
          <w:sz w:val="24"/>
        </w:rPr>
      </w:pPr>
      <w:r>
        <w:rPr>
          <w:sz w:val="24"/>
        </w:rPr>
        <w:t>Las únicas dos universidades mexicanas clasificadas fueron la UNAM, en el lugar 253</w:t>
      </w:r>
      <w:r w:rsidR="00A74B58">
        <w:rPr>
          <w:sz w:val="24"/>
        </w:rPr>
        <w:t xml:space="preserve"> mundial</w:t>
      </w:r>
      <w:r>
        <w:rPr>
          <w:sz w:val="24"/>
        </w:rPr>
        <w:t>, y el Instituto Politécnico Nacional, en el 565º</w:t>
      </w:r>
      <w:r w:rsidR="00A74B58">
        <w:rPr>
          <w:sz w:val="24"/>
        </w:rPr>
        <w:t xml:space="preserve"> (12º de América Latina)</w:t>
      </w:r>
      <w:r w:rsidRPr="00A74B58">
        <w:rPr>
          <w:sz w:val="24"/>
        </w:rPr>
        <w:t>.</w:t>
      </w:r>
    </w:p>
    <w:p w14:paraId="5B8D712D" w14:textId="7F00D088" w:rsidR="007C30FC" w:rsidRDefault="007C30FC" w:rsidP="003C40A4">
      <w:pPr>
        <w:pStyle w:val="ListParagraph"/>
        <w:spacing w:after="0" w:line="240" w:lineRule="auto"/>
        <w:ind w:left="0"/>
        <w:jc w:val="both"/>
        <w:rPr>
          <w:sz w:val="24"/>
        </w:rPr>
      </w:pPr>
    </w:p>
    <w:tbl>
      <w:tblPr>
        <w:tblW w:w="10895" w:type="dxa"/>
        <w:jc w:val="center"/>
        <w:tblLayout w:type="fixed"/>
        <w:tblCellMar>
          <w:left w:w="70" w:type="dxa"/>
          <w:right w:w="70" w:type="dxa"/>
        </w:tblCellMar>
        <w:tblLook w:val="04A0" w:firstRow="1" w:lastRow="0" w:firstColumn="1" w:lastColumn="0" w:noHBand="0" w:noVBand="1"/>
      </w:tblPr>
      <w:tblGrid>
        <w:gridCol w:w="1126"/>
        <w:gridCol w:w="3918"/>
        <w:gridCol w:w="958"/>
        <w:gridCol w:w="802"/>
        <w:gridCol w:w="851"/>
        <w:gridCol w:w="798"/>
        <w:gridCol w:w="798"/>
        <w:gridCol w:w="798"/>
        <w:gridCol w:w="815"/>
        <w:gridCol w:w="31"/>
      </w:tblGrid>
      <w:tr w:rsidR="00413B2A" w:rsidRPr="00F1446C" w14:paraId="385A7453" w14:textId="77777777" w:rsidTr="00C76217">
        <w:trPr>
          <w:trHeight w:val="155"/>
          <w:tblHeader/>
          <w:jc w:val="center"/>
        </w:trPr>
        <w:tc>
          <w:tcPr>
            <w:tcW w:w="10895" w:type="dxa"/>
            <w:gridSpan w:val="10"/>
            <w:tcBorders>
              <w:bottom w:val="single" w:sz="4" w:space="0" w:color="auto"/>
            </w:tcBorders>
            <w:shd w:val="clear" w:color="auto" w:fill="auto"/>
            <w:noWrap/>
            <w:vAlign w:val="center"/>
          </w:tcPr>
          <w:p w14:paraId="3A3903FB" w14:textId="77777777" w:rsidR="00413B2A" w:rsidRPr="00F1446C" w:rsidRDefault="00413B2A" w:rsidP="00C76217">
            <w:pPr>
              <w:spacing w:after="0" w:line="240" w:lineRule="auto"/>
              <w:jc w:val="center"/>
              <w:rPr>
                <w:b/>
                <w:sz w:val="18"/>
                <w:szCs w:val="20"/>
              </w:rPr>
            </w:pPr>
            <w:r w:rsidRPr="00F1446C">
              <w:rPr>
                <w:rFonts w:ascii="Calibri" w:eastAsia="Times New Roman" w:hAnsi="Calibri" w:cs="Times New Roman"/>
                <w:b/>
                <w:color w:val="050505"/>
                <w:sz w:val="20"/>
                <w:szCs w:val="24"/>
                <w:lang w:eastAsia="es-MX"/>
              </w:rPr>
              <w:t xml:space="preserve">Tabla </w:t>
            </w:r>
            <w:r>
              <w:rPr>
                <w:rFonts w:ascii="Calibri" w:eastAsia="Times New Roman" w:hAnsi="Calibri" w:cs="Times New Roman"/>
                <w:b/>
                <w:color w:val="050505"/>
                <w:sz w:val="20"/>
                <w:szCs w:val="24"/>
                <w:lang w:eastAsia="es-MX"/>
              </w:rPr>
              <w:t>3</w:t>
            </w:r>
            <w:r w:rsidRPr="00F1446C">
              <w:rPr>
                <w:rFonts w:ascii="Calibri" w:eastAsia="Times New Roman" w:hAnsi="Calibri" w:cs="Times New Roman"/>
                <w:b/>
                <w:color w:val="050505"/>
                <w:sz w:val="20"/>
                <w:szCs w:val="24"/>
                <w:lang w:eastAsia="es-MX"/>
              </w:rPr>
              <w:t xml:space="preserve">. Posición de las universidades </w:t>
            </w:r>
            <w:r w:rsidRPr="00FE417D">
              <w:rPr>
                <w:rFonts w:ascii="Calibri" w:eastAsia="Times New Roman" w:hAnsi="Calibri" w:cs="Times New Roman"/>
                <w:b/>
                <w:color w:val="050505"/>
                <w:sz w:val="20"/>
                <w:szCs w:val="18"/>
                <w:lang w:eastAsia="es-MX"/>
              </w:rPr>
              <w:t xml:space="preserve">América Latina </w:t>
            </w:r>
            <w:r w:rsidRPr="00F1446C">
              <w:rPr>
                <w:rFonts w:ascii="Calibri" w:eastAsia="Times New Roman" w:hAnsi="Calibri" w:cs="Times New Roman"/>
                <w:b/>
                <w:color w:val="050505"/>
                <w:sz w:val="20"/>
                <w:szCs w:val="24"/>
                <w:lang w:eastAsia="es-MX"/>
              </w:rPr>
              <w:t xml:space="preserve">en el </w:t>
            </w:r>
            <w:r w:rsidRPr="00F1446C">
              <w:rPr>
                <w:rFonts w:ascii="Calibri" w:eastAsia="Times New Roman" w:hAnsi="Calibri" w:cs="Times New Roman"/>
                <w:b/>
                <w:color w:val="050505"/>
                <w:sz w:val="20"/>
                <w:szCs w:val="18"/>
                <w:lang w:eastAsia="es-MX"/>
              </w:rPr>
              <w:t>Ranking ARWU 2021</w:t>
            </w:r>
            <w:r w:rsidRPr="00F1446C">
              <w:rPr>
                <w:rFonts w:ascii="Calibri" w:eastAsia="Times New Roman" w:hAnsi="Calibri" w:cs="Times New Roman"/>
                <w:b/>
                <w:color w:val="050505"/>
                <w:sz w:val="20"/>
                <w:szCs w:val="24"/>
                <w:lang w:eastAsia="es-MX"/>
              </w:rPr>
              <w:t>.</w:t>
            </w:r>
          </w:p>
        </w:tc>
      </w:tr>
      <w:tr w:rsidR="00413B2A" w:rsidRPr="000A50AD" w14:paraId="47E811A1" w14:textId="77777777" w:rsidTr="00C76217">
        <w:trPr>
          <w:gridAfter w:val="1"/>
          <w:wAfter w:w="31" w:type="dxa"/>
          <w:trHeight w:val="155"/>
          <w:tblHeader/>
          <w:jc w:val="center"/>
        </w:trPr>
        <w:tc>
          <w:tcPr>
            <w:tcW w:w="1126" w:type="dxa"/>
            <w:tcBorders>
              <w:top w:val="single" w:sz="4" w:space="0" w:color="auto"/>
              <w:left w:val="single" w:sz="4" w:space="0" w:color="auto"/>
              <w:bottom w:val="nil"/>
              <w:right w:val="single" w:sz="4" w:space="0" w:color="auto"/>
            </w:tcBorders>
            <w:shd w:val="clear" w:color="auto" w:fill="BDD6EE" w:themeFill="accent1" w:themeFillTint="66"/>
            <w:noWrap/>
            <w:vAlign w:val="bottom"/>
          </w:tcPr>
          <w:p w14:paraId="012D5A37" w14:textId="77777777" w:rsidR="00413B2A" w:rsidRPr="000A50AD" w:rsidRDefault="00413B2A" w:rsidP="00C76217">
            <w:pPr>
              <w:spacing w:after="0" w:line="240" w:lineRule="auto"/>
              <w:jc w:val="center"/>
              <w:rPr>
                <w:b/>
                <w:sz w:val="20"/>
                <w:szCs w:val="20"/>
              </w:rPr>
            </w:pPr>
            <w:r w:rsidRPr="000A50AD">
              <w:rPr>
                <w:b/>
                <w:sz w:val="20"/>
                <w:szCs w:val="20"/>
              </w:rPr>
              <w:t>Posición</w:t>
            </w:r>
          </w:p>
          <w:p w14:paraId="43EA9D16" w14:textId="77777777" w:rsidR="00413B2A" w:rsidRPr="000A50AD" w:rsidRDefault="00413B2A" w:rsidP="00C76217">
            <w:pPr>
              <w:spacing w:after="0" w:line="240" w:lineRule="auto"/>
              <w:jc w:val="center"/>
              <w:rPr>
                <w:b/>
                <w:sz w:val="20"/>
                <w:szCs w:val="20"/>
              </w:rPr>
            </w:pPr>
            <w:r w:rsidRPr="000A50AD">
              <w:rPr>
                <w:b/>
                <w:sz w:val="20"/>
                <w:szCs w:val="20"/>
              </w:rPr>
              <w:t>Estimada*</w:t>
            </w:r>
          </w:p>
        </w:tc>
        <w:tc>
          <w:tcPr>
            <w:tcW w:w="3918"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1A993C2C" w14:textId="77777777" w:rsidR="00413B2A" w:rsidRPr="000A50AD" w:rsidRDefault="00413B2A" w:rsidP="00C76217">
            <w:pPr>
              <w:spacing w:after="0" w:line="240" w:lineRule="auto"/>
              <w:jc w:val="center"/>
              <w:rPr>
                <w:b/>
                <w:sz w:val="20"/>
                <w:szCs w:val="20"/>
              </w:rPr>
            </w:pPr>
            <w:r w:rsidRPr="000A50AD">
              <w:rPr>
                <w:b/>
                <w:sz w:val="20"/>
                <w:szCs w:val="20"/>
              </w:rPr>
              <w:t>Institución</w:t>
            </w:r>
          </w:p>
        </w:tc>
        <w:tc>
          <w:tcPr>
            <w:tcW w:w="958"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03A62780" w14:textId="77777777" w:rsidR="00413B2A" w:rsidRPr="000A50AD" w:rsidRDefault="00413B2A" w:rsidP="00C76217">
            <w:pPr>
              <w:spacing w:after="0" w:line="240" w:lineRule="auto"/>
              <w:jc w:val="center"/>
              <w:rPr>
                <w:b/>
                <w:sz w:val="20"/>
                <w:szCs w:val="20"/>
              </w:rPr>
            </w:pPr>
            <w:r w:rsidRPr="000A50AD">
              <w:rPr>
                <w:b/>
                <w:sz w:val="20"/>
                <w:szCs w:val="20"/>
              </w:rPr>
              <w:t>País</w:t>
            </w:r>
          </w:p>
        </w:tc>
        <w:tc>
          <w:tcPr>
            <w:tcW w:w="802"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1845FFDE" w14:textId="77777777" w:rsidR="00413B2A" w:rsidRPr="000A50AD" w:rsidRDefault="00413B2A" w:rsidP="00C76217">
            <w:pPr>
              <w:spacing w:after="0" w:line="240" w:lineRule="auto"/>
              <w:jc w:val="center"/>
              <w:rPr>
                <w:b/>
                <w:sz w:val="20"/>
                <w:szCs w:val="20"/>
              </w:rPr>
            </w:pPr>
            <w:r w:rsidRPr="000A50AD">
              <w:rPr>
                <w:b/>
                <w:sz w:val="20"/>
                <w:szCs w:val="20"/>
              </w:rPr>
              <w:t>Alumni</w:t>
            </w:r>
          </w:p>
        </w:tc>
        <w:tc>
          <w:tcPr>
            <w:tcW w:w="851"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50759B20" w14:textId="77777777" w:rsidR="00413B2A" w:rsidRPr="000A50AD" w:rsidRDefault="00413B2A" w:rsidP="00C76217">
            <w:pPr>
              <w:spacing w:after="0" w:line="240" w:lineRule="auto"/>
              <w:jc w:val="center"/>
              <w:rPr>
                <w:b/>
                <w:sz w:val="20"/>
                <w:szCs w:val="20"/>
              </w:rPr>
            </w:pPr>
            <w:r w:rsidRPr="000A50AD">
              <w:rPr>
                <w:b/>
                <w:sz w:val="20"/>
                <w:szCs w:val="20"/>
              </w:rPr>
              <w:t>Award</w:t>
            </w:r>
          </w:p>
        </w:tc>
        <w:tc>
          <w:tcPr>
            <w:tcW w:w="798"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4ACCEC4C" w14:textId="77777777" w:rsidR="00413B2A" w:rsidRPr="000A50AD" w:rsidRDefault="00413B2A" w:rsidP="00C76217">
            <w:pPr>
              <w:spacing w:after="0" w:line="240" w:lineRule="auto"/>
              <w:jc w:val="center"/>
              <w:rPr>
                <w:b/>
                <w:sz w:val="20"/>
                <w:szCs w:val="20"/>
              </w:rPr>
            </w:pPr>
            <w:r w:rsidRPr="000A50AD">
              <w:rPr>
                <w:b/>
                <w:sz w:val="20"/>
                <w:szCs w:val="20"/>
              </w:rPr>
              <w:t>HiCi</w:t>
            </w:r>
          </w:p>
        </w:tc>
        <w:tc>
          <w:tcPr>
            <w:tcW w:w="798"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3291F900" w14:textId="77777777" w:rsidR="00413B2A" w:rsidRPr="000A50AD" w:rsidRDefault="00413B2A" w:rsidP="00C76217">
            <w:pPr>
              <w:spacing w:after="0" w:line="240" w:lineRule="auto"/>
              <w:jc w:val="center"/>
              <w:rPr>
                <w:b/>
                <w:sz w:val="20"/>
                <w:szCs w:val="20"/>
              </w:rPr>
            </w:pPr>
            <w:r w:rsidRPr="000A50AD">
              <w:rPr>
                <w:b/>
                <w:sz w:val="20"/>
                <w:szCs w:val="20"/>
              </w:rPr>
              <w:t>N&amp;S</w:t>
            </w:r>
          </w:p>
        </w:tc>
        <w:tc>
          <w:tcPr>
            <w:tcW w:w="798"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250A433A" w14:textId="77777777" w:rsidR="00413B2A" w:rsidRPr="000A50AD" w:rsidRDefault="00413B2A" w:rsidP="00C76217">
            <w:pPr>
              <w:spacing w:after="0" w:line="240" w:lineRule="auto"/>
              <w:jc w:val="center"/>
              <w:rPr>
                <w:b/>
                <w:sz w:val="20"/>
                <w:szCs w:val="20"/>
              </w:rPr>
            </w:pPr>
            <w:r w:rsidRPr="000A50AD">
              <w:rPr>
                <w:b/>
                <w:sz w:val="20"/>
                <w:szCs w:val="20"/>
              </w:rPr>
              <w:t>PUB</w:t>
            </w:r>
          </w:p>
        </w:tc>
        <w:tc>
          <w:tcPr>
            <w:tcW w:w="815" w:type="dxa"/>
            <w:tcBorders>
              <w:top w:val="single" w:sz="4" w:space="0" w:color="auto"/>
              <w:left w:val="single" w:sz="4" w:space="0" w:color="auto"/>
              <w:bottom w:val="nil"/>
              <w:right w:val="single" w:sz="4" w:space="0" w:color="auto"/>
            </w:tcBorders>
            <w:shd w:val="clear" w:color="auto" w:fill="BDD6EE" w:themeFill="accent1" w:themeFillTint="66"/>
            <w:vAlign w:val="center"/>
          </w:tcPr>
          <w:p w14:paraId="15C1D3D3" w14:textId="77777777" w:rsidR="00413B2A" w:rsidRPr="000A50AD" w:rsidRDefault="00413B2A" w:rsidP="00C76217">
            <w:pPr>
              <w:spacing w:after="0" w:line="240" w:lineRule="auto"/>
              <w:jc w:val="center"/>
              <w:rPr>
                <w:b/>
                <w:sz w:val="20"/>
                <w:szCs w:val="20"/>
              </w:rPr>
            </w:pPr>
            <w:r w:rsidRPr="000A50AD">
              <w:rPr>
                <w:b/>
                <w:sz w:val="20"/>
                <w:szCs w:val="20"/>
              </w:rPr>
              <w:t>PCP</w:t>
            </w:r>
          </w:p>
        </w:tc>
      </w:tr>
      <w:tr w:rsidR="00413B2A" w:rsidRPr="000A50AD" w14:paraId="2D143C8D"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92E5F"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118</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6E74C707"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de São Paulo</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1104538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6E06136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A222AD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0BD2090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19.3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13B0BDF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14.3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7E755D1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76.9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7810E7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17.9</w:t>
            </w:r>
          </w:p>
        </w:tc>
      </w:tr>
      <w:tr w:rsidR="00413B2A" w:rsidRPr="000A50AD" w14:paraId="1CF15FE0"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C63C0EA" w14:textId="77777777" w:rsidR="00413B2A" w:rsidRPr="000A50AD" w:rsidRDefault="00413B2A" w:rsidP="00C76217">
            <w:pPr>
              <w:spacing w:after="0" w:line="240" w:lineRule="auto"/>
              <w:jc w:val="center"/>
              <w:rPr>
                <w:rFonts w:eastAsia="Times New Roman" w:cstheme="minorHAnsi"/>
                <w:b/>
                <w:bCs/>
                <w:color w:val="0000FF"/>
                <w:sz w:val="18"/>
                <w:szCs w:val="18"/>
                <w:lang w:val="en-US" w:eastAsia="es-MX"/>
              </w:rPr>
            </w:pPr>
            <w:r w:rsidRPr="000A50AD">
              <w:rPr>
                <w:rFonts w:ascii="Calibri" w:hAnsi="Calibri" w:cs="Calibri"/>
                <w:b/>
                <w:bCs/>
                <w:color w:val="0000FF"/>
                <w:sz w:val="18"/>
                <w:szCs w:val="18"/>
              </w:rPr>
              <w:t>253</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9ECCD17" w14:textId="77777777" w:rsidR="00413B2A" w:rsidRPr="007C30FC" w:rsidRDefault="00413B2A" w:rsidP="00C76217">
            <w:pPr>
              <w:spacing w:after="0" w:line="240" w:lineRule="auto"/>
              <w:rPr>
                <w:rFonts w:eastAsia="Times New Roman" w:cstheme="minorHAnsi"/>
                <w:b/>
                <w:bCs/>
                <w:color w:val="000000"/>
                <w:sz w:val="18"/>
                <w:szCs w:val="18"/>
                <w:lang w:eastAsia="es-MX"/>
              </w:rPr>
            </w:pPr>
            <w:r w:rsidRPr="000A50AD">
              <w:rPr>
                <w:rFonts w:ascii="Calibri" w:hAnsi="Calibri" w:cs="Calibri"/>
                <w:b/>
                <w:bCs/>
                <w:color w:val="000000"/>
                <w:sz w:val="18"/>
                <w:szCs w:val="18"/>
              </w:rPr>
              <w:t>Universidad Nacional Autónoma de México</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84BD67"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b/>
                <w:bCs/>
                <w:color w:val="000000"/>
                <w:sz w:val="18"/>
                <w:szCs w:val="18"/>
              </w:rPr>
              <w:t>México</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62EE48"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b/>
                <w:bCs/>
                <w:color w:val="000000"/>
                <w:sz w:val="18"/>
                <w:szCs w:val="18"/>
              </w:rPr>
              <w:t>11.9</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D5C4681"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b/>
                <w:bCs/>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099090"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b/>
                <w:bCs/>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FBCC04"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b/>
                <w:bCs/>
                <w:color w:val="000000"/>
                <w:sz w:val="18"/>
                <w:szCs w:val="18"/>
              </w:rPr>
              <w:t>11.4</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3CE77EA"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b/>
                <w:bCs/>
                <w:color w:val="000000"/>
                <w:sz w:val="18"/>
                <w:szCs w:val="18"/>
              </w:rPr>
              <w:t>53.9</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2DB2A45"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b/>
                <w:bCs/>
                <w:color w:val="000000"/>
                <w:sz w:val="18"/>
                <w:szCs w:val="18"/>
              </w:rPr>
              <w:t>22.1</w:t>
            </w:r>
          </w:p>
        </w:tc>
      </w:tr>
      <w:tr w:rsidR="00413B2A" w:rsidRPr="000A50AD" w14:paraId="639B015B"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7E0CD"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268</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2A77FCCE"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de Buenos Aires</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582A26B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Argentina</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641BA63F"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3C5BD7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23.2</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240169E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6547775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7.4</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01BA0A9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35.1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9350F5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17.3</w:t>
            </w:r>
          </w:p>
        </w:tc>
      </w:tr>
      <w:tr w:rsidR="00413B2A" w:rsidRPr="000A50AD" w14:paraId="51C93A8E"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C8FF519" w14:textId="77777777" w:rsidR="00413B2A" w:rsidRPr="000A50AD" w:rsidRDefault="00413B2A" w:rsidP="00C76217">
            <w:pPr>
              <w:spacing w:after="0" w:line="240" w:lineRule="auto"/>
              <w:jc w:val="center"/>
              <w:rPr>
                <w:rFonts w:eastAsia="Times New Roman" w:cstheme="minorHAnsi"/>
                <w:b/>
                <w:bCs/>
                <w:color w:val="0000FF"/>
                <w:sz w:val="18"/>
                <w:szCs w:val="18"/>
                <w:lang w:val="en-US" w:eastAsia="es-MX"/>
              </w:rPr>
            </w:pPr>
            <w:r w:rsidRPr="000A50AD">
              <w:rPr>
                <w:rFonts w:ascii="Calibri" w:hAnsi="Calibri" w:cs="Calibri"/>
                <w:color w:val="0000FF"/>
                <w:sz w:val="18"/>
                <w:szCs w:val="18"/>
              </w:rPr>
              <w:t>355</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BA8F48" w14:textId="77777777" w:rsidR="00413B2A" w:rsidRPr="000A50AD" w:rsidRDefault="00413B2A" w:rsidP="00C76217">
            <w:pPr>
              <w:spacing w:after="0" w:line="240" w:lineRule="auto"/>
              <w:rPr>
                <w:rFonts w:eastAsia="Times New Roman" w:cstheme="minorHAnsi"/>
                <w:b/>
                <w:bCs/>
                <w:color w:val="000000"/>
                <w:sz w:val="18"/>
                <w:szCs w:val="18"/>
                <w:lang w:eastAsia="es-MX"/>
              </w:rPr>
            </w:pPr>
            <w:r w:rsidRPr="000A50AD">
              <w:rPr>
                <w:rFonts w:ascii="Calibri" w:hAnsi="Calibri" w:cs="Calibri"/>
                <w:color w:val="000000"/>
                <w:sz w:val="18"/>
                <w:szCs w:val="18"/>
              </w:rPr>
              <w:t>Universidad Estatal Paulista</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1796C6"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FFE6B2"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842206B"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BE275FA"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color w:val="000000"/>
                <w:sz w:val="18"/>
                <w:szCs w:val="18"/>
              </w:rPr>
              <w:t>7.3</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9D4A7C7"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color w:val="000000"/>
                <w:sz w:val="18"/>
                <w:szCs w:val="18"/>
              </w:rPr>
              <w:t>3.5</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353A5C"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color w:val="000000"/>
                <w:sz w:val="18"/>
                <w:szCs w:val="18"/>
              </w:rPr>
              <w:t>48.1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B0CB6B0" w14:textId="77777777" w:rsidR="00413B2A" w:rsidRPr="000A50AD" w:rsidRDefault="00413B2A" w:rsidP="00C76217">
            <w:pPr>
              <w:spacing w:after="0" w:line="240" w:lineRule="auto"/>
              <w:jc w:val="center"/>
              <w:rPr>
                <w:rFonts w:eastAsia="Times New Roman" w:cstheme="minorHAnsi"/>
                <w:b/>
                <w:bCs/>
                <w:color w:val="000000"/>
                <w:sz w:val="18"/>
                <w:szCs w:val="18"/>
                <w:lang w:val="en-US" w:eastAsia="es-MX"/>
              </w:rPr>
            </w:pPr>
            <w:r w:rsidRPr="000A50AD">
              <w:rPr>
                <w:rFonts w:ascii="Calibri" w:hAnsi="Calibri" w:cs="Calibri"/>
                <w:color w:val="000000"/>
                <w:sz w:val="18"/>
                <w:szCs w:val="18"/>
              </w:rPr>
              <w:t>19.4</w:t>
            </w:r>
          </w:p>
        </w:tc>
      </w:tr>
      <w:tr w:rsidR="00413B2A" w:rsidRPr="000A50AD" w14:paraId="0A056BD9"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83167"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359</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13EC11C4"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de Campinas</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62723B6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535DEF4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5B06EB9"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6C948E7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7.3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1A2959B9"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6.7</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3F63CB9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45.2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285972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18.4</w:t>
            </w:r>
          </w:p>
        </w:tc>
      </w:tr>
      <w:tr w:rsidR="00413B2A" w:rsidRPr="000A50AD" w14:paraId="05D6FAF9"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D0716DD"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364</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04C425" w14:textId="77777777" w:rsidR="00413B2A" w:rsidRPr="007C30FC"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Federal de Río Grande del Sur</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E5B18F"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D986E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F1A12F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56FBC7"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10.3</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05DDF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6.2</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621B41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42.3</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6076C6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17.5</w:t>
            </w:r>
          </w:p>
        </w:tc>
      </w:tr>
      <w:tr w:rsidR="00413B2A" w:rsidRPr="000A50AD" w14:paraId="3F68CDA1"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6DB7B"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423</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3BFEB9ED"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Federal de Río de Janeiro</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362F947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5A5E504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F3A611F"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2DACDE5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5BDAA80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9.1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6E6C775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42.5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22A64C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17.3</w:t>
            </w:r>
          </w:p>
        </w:tc>
      </w:tr>
      <w:tr w:rsidR="00413B2A" w:rsidRPr="000A50AD" w14:paraId="36D448A5"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2A58131"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484</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59F744" w14:textId="77777777" w:rsidR="00413B2A" w:rsidRPr="007C30FC" w:rsidRDefault="00413B2A" w:rsidP="00C76217">
            <w:pPr>
              <w:spacing w:after="0" w:line="240" w:lineRule="auto"/>
              <w:rPr>
                <w:rFonts w:eastAsia="Times New Roman" w:cstheme="minorHAnsi"/>
                <w:color w:val="000000"/>
                <w:sz w:val="18"/>
                <w:szCs w:val="18"/>
                <w:lang w:val="pt-BR" w:eastAsia="es-MX"/>
              </w:rPr>
            </w:pPr>
            <w:r w:rsidRPr="007C30FC">
              <w:rPr>
                <w:rFonts w:ascii="Calibri" w:hAnsi="Calibri" w:cs="Calibri"/>
                <w:color w:val="000000"/>
                <w:sz w:val="18"/>
                <w:szCs w:val="18"/>
                <w:lang w:val="pt-BR"/>
              </w:rPr>
              <w:t>Universidad Federal de Minas Gerais</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6FA39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E411C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989E58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A37C37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52680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5.3</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C6D861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41.7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BD3CD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16.7</w:t>
            </w:r>
          </w:p>
        </w:tc>
      </w:tr>
      <w:tr w:rsidR="00413B2A" w:rsidRPr="000A50AD" w14:paraId="488801B6"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3A66E"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489</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06447E31"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de Chile</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0CA9C21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Chile</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6786DCB7"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BCE50D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74FF30D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7D00F2C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8.3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286DC9B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36.5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6E0C8E7"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14.9</w:t>
            </w:r>
          </w:p>
        </w:tc>
      </w:tr>
      <w:tr w:rsidR="00413B2A" w:rsidRPr="000A50AD" w14:paraId="745F0BF1"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4B67B03"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524</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99D80B"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Pontificia Universidad Católica de Chile</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401C91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Chile</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8BEF1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A61061F"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34C44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59C82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9.8</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60788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34.8</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FBBBC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14.3</w:t>
            </w:r>
          </w:p>
        </w:tc>
      </w:tr>
      <w:tr w:rsidR="00413B2A" w:rsidRPr="000A50AD" w14:paraId="580C960B"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A1029"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559</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032AFF97"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de Brasilia</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239BFFB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32AE3B1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11CEA5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2D58074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7.3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251BA3D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5.3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3069CE7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31.0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6622972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12.8</w:t>
            </w:r>
          </w:p>
        </w:tc>
      </w:tr>
      <w:tr w:rsidR="00413B2A" w:rsidRPr="000A50AD" w14:paraId="6198E9F8"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5E501A7"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565</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D7D65D1"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Instituto Politécnico Nacional</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B7F06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México</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8E3B1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7CD61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2D0A6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F46B6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4.7</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CA314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37.5</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D1543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15.0</w:t>
            </w:r>
          </w:p>
        </w:tc>
      </w:tr>
      <w:tr w:rsidR="00413B2A" w:rsidRPr="000A50AD" w14:paraId="074D956B"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4B213"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655</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46405AB8"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Federal de Paraná</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2DE51A3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492A790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D7105D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73F9C0D9"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4F684A6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2.5</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6EFC32B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35.4</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C320DF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14.1</w:t>
            </w:r>
          </w:p>
        </w:tc>
      </w:tr>
      <w:tr w:rsidR="00413B2A" w:rsidRPr="000A50AD" w14:paraId="311A65A4"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669EC8F"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683</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A4F6C0" w14:textId="77777777" w:rsidR="00413B2A" w:rsidRPr="007C30FC" w:rsidRDefault="00413B2A" w:rsidP="00C76217">
            <w:pPr>
              <w:spacing w:after="0" w:line="240" w:lineRule="auto"/>
              <w:rPr>
                <w:rFonts w:eastAsia="Times New Roman" w:cstheme="minorHAnsi"/>
                <w:color w:val="000000"/>
                <w:sz w:val="18"/>
                <w:szCs w:val="18"/>
                <w:lang w:val="pt-BR" w:eastAsia="es-MX"/>
              </w:rPr>
            </w:pPr>
            <w:r w:rsidRPr="007C30FC">
              <w:rPr>
                <w:rFonts w:ascii="Calibri" w:hAnsi="Calibri" w:cs="Calibri"/>
                <w:color w:val="000000"/>
                <w:sz w:val="18"/>
                <w:szCs w:val="18"/>
                <w:lang w:val="pt-BR"/>
              </w:rPr>
              <w:t>Universidad Federal de São Paulo</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B9B048F"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0AAF8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5FB9B4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804A6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4B3554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3.2</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EDBEC19"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33.5</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FD4A5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13.4</w:t>
            </w:r>
          </w:p>
        </w:tc>
      </w:tr>
      <w:tr w:rsidR="00413B2A" w:rsidRPr="000A50AD" w14:paraId="094F540A"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A2396"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686</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6BF4179E"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Federal de Santa Catarina</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0E3AF85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075609D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AC3FD4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1BD78E6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377E5BC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0592FB9F"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34.5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2CBA39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13.7</w:t>
            </w:r>
          </w:p>
        </w:tc>
      </w:tr>
      <w:tr w:rsidR="00413B2A" w:rsidRPr="000A50AD" w14:paraId="4ED255A4"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357AD11"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731</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97502D"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Federal de Pelotas</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EB908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13B3F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EC551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B8A0477"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10.3</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8DA1549"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6F530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23.7</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6D0442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10.3</w:t>
            </w:r>
          </w:p>
        </w:tc>
      </w:tr>
      <w:tr w:rsidR="00413B2A" w:rsidRPr="000A50AD" w14:paraId="5262902D"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C627F"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735</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1FCB8DE3"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Federal Fluminense</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5F0EF8B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5C6911C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5DBABB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1757CD6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7.3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1E6F78D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357B2E6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24.3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51AF6FD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10.2</w:t>
            </w:r>
          </w:p>
        </w:tc>
      </w:tr>
      <w:tr w:rsidR="00413B2A" w:rsidRPr="000A50AD" w14:paraId="553C04A3"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A41FEF7"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767</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DF23CB" w14:textId="77777777" w:rsidR="00413B2A" w:rsidRPr="007C30FC" w:rsidRDefault="00413B2A" w:rsidP="00C76217">
            <w:pPr>
              <w:spacing w:after="0" w:line="240" w:lineRule="auto"/>
              <w:rPr>
                <w:rFonts w:eastAsia="Times New Roman" w:cstheme="minorHAnsi"/>
                <w:color w:val="000000"/>
                <w:sz w:val="18"/>
                <w:szCs w:val="18"/>
                <w:lang w:val="pt-BR" w:eastAsia="es-MX"/>
              </w:rPr>
            </w:pPr>
            <w:r w:rsidRPr="007C30FC">
              <w:rPr>
                <w:rFonts w:ascii="Calibri" w:hAnsi="Calibri" w:cs="Calibri"/>
                <w:color w:val="000000"/>
                <w:sz w:val="18"/>
                <w:szCs w:val="18"/>
                <w:lang w:val="pt-BR"/>
              </w:rPr>
              <w:t>Universidad Federal de São Carlos</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B6D095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10B822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8DEE1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CF29D0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7DE3E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3.9</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29C61F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29.4</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4672D2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11.8</w:t>
            </w:r>
          </w:p>
        </w:tc>
      </w:tr>
      <w:tr w:rsidR="00413B2A" w:rsidRPr="000A50AD" w14:paraId="54A6ACF2"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AC863"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809</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393682BD"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Federal del Ceará</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7B426167"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3C9F96F7"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16F66F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39CDAE0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229B1BE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3389B44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27.6</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4D5AEF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11.1</w:t>
            </w:r>
          </w:p>
        </w:tc>
      </w:tr>
      <w:tr w:rsidR="00413B2A" w:rsidRPr="000A50AD" w14:paraId="3386C2DD"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945B0FC"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820</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1A36AB2"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Nacional de Colombia</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540FC8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Colombia</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242339"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6848A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DB80DC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8F46BE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4.3</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DD092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27.4</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1B54E39"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11.0</w:t>
            </w:r>
          </w:p>
        </w:tc>
      </w:tr>
      <w:tr w:rsidR="00413B2A" w:rsidRPr="000A50AD" w14:paraId="1D3F8C9E"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E702D"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830</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7D524AA8"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Federal de Pernambuco</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590706D7"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7D9E510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D975B1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728EBB1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68ACB94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454D855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28.9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A00D6D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11.5</w:t>
            </w:r>
          </w:p>
        </w:tc>
      </w:tr>
      <w:tr w:rsidR="00413B2A" w:rsidRPr="000A50AD" w14:paraId="06D310C4"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A0242F2"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861</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3CF0493" w14:textId="77777777" w:rsidR="00413B2A" w:rsidRPr="000A50AD" w:rsidRDefault="00413B2A" w:rsidP="00C76217">
            <w:pPr>
              <w:spacing w:after="0" w:line="240" w:lineRule="auto"/>
              <w:rPr>
                <w:rFonts w:eastAsia="Times New Roman" w:cstheme="minorHAnsi"/>
                <w:color w:val="000000"/>
                <w:sz w:val="18"/>
                <w:szCs w:val="18"/>
                <w:lang w:val="pt-BR" w:eastAsia="es-MX"/>
              </w:rPr>
            </w:pPr>
            <w:r w:rsidRPr="000A50AD">
              <w:rPr>
                <w:rFonts w:ascii="Calibri" w:hAnsi="Calibri" w:cs="Calibri"/>
                <w:color w:val="000000"/>
                <w:sz w:val="18"/>
                <w:szCs w:val="18"/>
              </w:rPr>
              <w:t>Universidad Federal de Goiás</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7EF39E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F8CCC67"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78A467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EBDFBC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971C6B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5.0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CE0E26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25.6</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5B2CD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10.4</w:t>
            </w:r>
          </w:p>
        </w:tc>
      </w:tr>
      <w:tr w:rsidR="00413B2A" w:rsidRPr="000A50AD" w14:paraId="546AC0B6"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6E393"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864</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56C57D54"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Nacional de La Plata</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7165F42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Argentina</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6F555B6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8A1792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25B2BB0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54BE6CF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4.7</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2866FCA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25.9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11F739A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10.4</w:t>
            </w:r>
          </w:p>
        </w:tc>
      </w:tr>
      <w:tr w:rsidR="00413B2A" w:rsidRPr="000A50AD" w14:paraId="7DC898A7"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E6FDD30"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868</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853076"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de Concepción</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A0F74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Chile</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E3B6BE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8A6981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248B6F"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705F146"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5.4</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A05DD0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25.2</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DFC294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10.2</w:t>
            </w:r>
          </w:p>
        </w:tc>
      </w:tr>
      <w:tr w:rsidR="00413B2A" w:rsidRPr="000A50AD" w14:paraId="07A0F862"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53548"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871</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5E29D350"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Federal de Río Grande del Norte</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059C7AD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5F20FDE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FB8FCB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46C450C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745C8B2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4.5</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1D5370B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25.9</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25173D8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10.4</w:t>
            </w:r>
          </w:p>
        </w:tc>
      </w:tr>
      <w:tr w:rsidR="00413B2A" w:rsidRPr="000A50AD" w14:paraId="0D1F333A"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56576E2"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895</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08E872E"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Andrés Bello</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6E4C9B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Chile</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21AB7A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03B95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7EAF3C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7.3</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B9644B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3.2</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D65E1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20.3</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0E49B1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8.6</w:t>
            </w:r>
          </w:p>
        </w:tc>
      </w:tr>
      <w:tr w:rsidR="00413B2A" w:rsidRPr="000A50AD" w14:paraId="2D09BA7D"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CF870"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905</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03D3954B"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Federal de Viçosa</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6712FEF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5ECD23B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EDFB1A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66AEC71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5A1836B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6DF6D16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27.5</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30CC69F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10.9</w:t>
            </w:r>
          </w:p>
        </w:tc>
      </w:tr>
      <w:tr w:rsidR="00413B2A" w:rsidRPr="000A50AD" w14:paraId="6213F71E"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944291F"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918</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6EA70B0"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Federal de Mato Grosso del Sur</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AF1F56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F5FD51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A7DE1E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A50A7B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33E41C3"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3.2</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6DB779"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26.1</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A246A6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10.4</w:t>
            </w:r>
          </w:p>
        </w:tc>
      </w:tr>
      <w:tr w:rsidR="00413B2A" w:rsidRPr="000A50AD" w14:paraId="3F0985F6"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C2F2A"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924</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0FAA1C01"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de Los Andes (Colombia)</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0C00F941"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Colombia</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1C66F082"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25600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18E2AEB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7.3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4B563E3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4.7</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469E58C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18.3</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43C0304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8.0</w:t>
            </w:r>
          </w:p>
        </w:tc>
      </w:tr>
      <w:tr w:rsidR="00413B2A" w:rsidRPr="000A50AD" w14:paraId="7BF2B79C"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B650A9A"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956</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E54A6CA"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Nacional de Córdoba</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8F5C2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Argentina</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6CE92D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DE5148F"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52777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EBE991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6.2</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104581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22.6</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B4DF98"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9.3</w:t>
            </w:r>
          </w:p>
        </w:tc>
      </w:tr>
      <w:tr w:rsidR="00413B2A" w:rsidRPr="000A50AD" w14:paraId="39CDC698"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AE35E"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966</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bottom"/>
          </w:tcPr>
          <w:p w14:paraId="6A716530" w14:textId="77777777" w:rsidR="00413B2A" w:rsidRPr="000A50AD" w:rsidRDefault="00413B2A" w:rsidP="00C76217">
            <w:pPr>
              <w:spacing w:after="0" w:line="240" w:lineRule="auto"/>
              <w:rPr>
                <w:rFonts w:eastAsia="Times New Roman" w:cstheme="minorHAnsi"/>
                <w:color w:val="000000"/>
                <w:sz w:val="18"/>
                <w:szCs w:val="18"/>
                <w:lang w:val="en-US" w:eastAsia="es-MX"/>
              </w:rPr>
            </w:pPr>
            <w:r w:rsidRPr="000A50AD">
              <w:rPr>
                <w:rFonts w:ascii="Calibri" w:hAnsi="Calibri" w:cs="Calibri"/>
                <w:color w:val="000000"/>
                <w:sz w:val="18"/>
                <w:szCs w:val="18"/>
              </w:rPr>
              <w:t>Universidad Federal de Bahía</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1B43CCB0"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1310452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23961A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1E64FD6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2359D38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2.9</w:t>
            </w:r>
          </w:p>
        </w:tc>
        <w:tc>
          <w:tcPr>
            <w:tcW w:w="798" w:type="dxa"/>
            <w:tcBorders>
              <w:top w:val="single" w:sz="4" w:space="0" w:color="auto"/>
              <w:left w:val="single" w:sz="4" w:space="0" w:color="auto"/>
              <w:bottom w:val="single" w:sz="4" w:space="0" w:color="auto"/>
              <w:right w:val="single" w:sz="4" w:space="0" w:color="auto"/>
            </w:tcBorders>
            <w:shd w:val="clear" w:color="auto" w:fill="auto"/>
            <w:vAlign w:val="bottom"/>
          </w:tcPr>
          <w:p w14:paraId="4815831E"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25.2</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14:paraId="7C53E6E4"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10.1</w:t>
            </w:r>
          </w:p>
        </w:tc>
      </w:tr>
      <w:tr w:rsidR="00413B2A" w:rsidRPr="000A50AD" w14:paraId="19969F66" w14:textId="77777777" w:rsidTr="00C76217">
        <w:trPr>
          <w:gridAfter w:val="1"/>
          <w:wAfter w:w="31" w:type="dxa"/>
          <w:trHeight w:val="116"/>
          <w:jc w:val="center"/>
        </w:trPr>
        <w:tc>
          <w:tcPr>
            <w:tcW w:w="1126"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648822C" w14:textId="77777777" w:rsidR="00413B2A" w:rsidRPr="000A50AD" w:rsidRDefault="00413B2A" w:rsidP="00C76217">
            <w:pPr>
              <w:spacing w:after="0" w:line="240" w:lineRule="auto"/>
              <w:jc w:val="center"/>
              <w:rPr>
                <w:rFonts w:eastAsia="Times New Roman" w:cstheme="minorHAnsi"/>
                <w:color w:val="0000FF"/>
                <w:sz w:val="18"/>
                <w:szCs w:val="18"/>
                <w:lang w:val="en-US" w:eastAsia="es-MX"/>
              </w:rPr>
            </w:pPr>
            <w:r w:rsidRPr="000A50AD">
              <w:rPr>
                <w:rFonts w:ascii="Calibri" w:hAnsi="Calibri" w:cs="Calibri"/>
                <w:color w:val="0000FF"/>
                <w:sz w:val="18"/>
                <w:szCs w:val="18"/>
              </w:rPr>
              <w:t>990</w:t>
            </w:r>
          </w:p>
        </w:tc>
        <w:tc>
          <w:tcPr>
            <w:tcW w:w="39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6B69A5D" w14:textId="77777777" w:rsidR="00413B2A" w:rsidRPr="000A50AD" w:rsidRDefault="00413B2A" w:rsidP="00C76217">
            <w:pPr>
              <w:spacing w:after="0" w:line="240" w:lineRule="auto"/>
              <w:rPr>
                <w:rFonts w:eastAsia="Times New Roman" w:cstheme="minorHAnsi"/>
                <w:color w:val="000000"/>
                <w:sz w:val="18"/>
                <w:szCs w:val="18"/>
                <w:lang w:eastAsia="es-MX"/>
              </w:rPr>
            </w:pPr>
            <w:r w:rsidRPr="000A50AD">
              <w:rPr>
                <w:rFonts w:ascii="Calibri" w:hAnsi="Calibri" w:cs="Calibri"/>
                <w:color w:val="000000"/>
                <w:sz w:val="18"/>
                <w:szCs w:val="18"/>
              </w:rPr>
              <w:t>Universidad Federal de Santa María</w:t>
            </w:r>
          </w:p>
        </w:tc>
        <w:tc>
          <w:tcPr>
            <w:tcW w:w="95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64CCD7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Brasil</w:t>
            </w:r>
          </w:p>
        </w:tc>
        <w:tc>
          <w:tcPr>
            <w:tcW w:w="8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B72DC05"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06F6F79"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E1475FB"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FF164A"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0.0</w:t>
            </w:r>
          </w:p>
        </w:tc>
        <w:tc>
          <w:tcPr>
            <w:tcW w:w="79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2071BAD"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27.0</w:t>
            </w:r>
          </w:p>
        </w:tc>
        <w:tc>
          <w:tcPr>
            <w:tcW w:w="8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5BDB35C" w14:textId="77777777" w:rsidR="00413B2A" w:rsidRPr="000A50AD" w:rsidRDefault="00413B2A" w:rsidP="00C76217">
            <w:pPr>
              <w:spacing w:after="0" w:line="240" w:lineRule="auto"/>
              <w:jc w:val="center"/>
              <w:rPr>
                <w:rFonts w:eastAsia="Times New Roman" w:cstheme="minorHAnsi"/>
                <w:color w:val="000000"/>
                <w:sz w:val="18"/>
                <w:szCs w:val="18"/>
                <w:lang w:val="en-US" w:eastAsia="es-MX"/>
              </w:rPr>
            </w:pPr>
            <w:r w:rsidRPr="000A50AD">
              <w:rPr>
                <w:rFonts w:ascii="Calibri" w:hAnsi="Calibri" w:cs="Calibri"/>
                <w:color w:val="000000"/>
                <w:sz w:val="18"/>
                <w:szCs w:val="18"/>
              </w:rPr>
              <w:t>10.7</w:t>
            </w:r>
          </w:p>
        </w:tc>
      </w:tr>
      <w:tr w:rsidR="00413B2A" w:rsidRPr="00F1446C" w14:paraId="26227982" w14:textId="77777777" w:rsidTr="00C76217">
        <w:trPr>
          <w:trHeight w:val="28"/>
          <w:jc w:val="center"/>
        </w:trPr>
        <w:tc>
          <w:tcPr>
            <w:tcW w:w="10895" w:type="dxa"/>
            <w:gridSpan w:val="10"/>
            <w:tcBorders>
              <w:top w:val="single" w:sz="4" w:space="0" w:color="auto"/>
            </w:tcBorders>
            <w:shd w:val="clear" w:color="auto" w:fill="auto"/>
            <w:noWrap/>
            <w:vAlign w:val="center"/>
          </w:tcPr>
          <w:p w14:paraId="426DD0C4" w14:textId="77777777" w:rsidR="00413B2A" w:rsidRPr="00F1446C" w:rsidRDefault="00413B2A" w:rsidP="00C76217">
            <w:pPr>
              <w:spacing w:after="0" w:line="240" w:lineRule="auto"/>
              <w:rPr>
                <w:rFonts w:ascii="Calibri" w:eastAsia="Times New Roman" w:hAnsi="Calibri" w:cs="Times New Roman"/>
                <w:bCs/>
                <w:color w:val="000000"/>
                <w:sz w:val="14"/>
                <w:szCs w:val="16"/>
                <w:lang w:eastAsia="es-MX"/>
              </w:rPr>
            </w:pPr>
            <w:r w:rsidRPr="00F1446C">
              <w:rPr>
                <w:rFonts w:ascii="Calibri" w:eastAsia="Times New Roman" w:hAnsi="Calibri" w:cs="Times New Roman"/>
                <w:bCs/>
                <w:color w:val="000000"/>
                <w:sz w:val="14"/>
                <w:szCs w:val="16"/>
                <w:lang w:eastAsia="es-MX"/>
              </w:rPr>
              <w:t xml:space="preserve">* </w:t>
            </w:r>
            <w:r w:rsidRPr="00F1446C">
              <w:rPr>
                <w:rFonts w:ascii="Calibri" w:eastAsia="Times New Roman" w:hAnsi="Calibri" w:cs="Times New Roman"/>
                <w:color w:val="000000"/>
                <w:sz w:val="14"/>
                <w:szCs w:val="16"/>
                <w:lang w:eastAsia="es-MX"/>
              </w:rPr>
              <w:t xml:space="preserve">Ordenando </w:t>
            </w:r>
            <w:r w:rsidRPr="00F1446C">
              <w:rPr>
                <w:rFonts w:ascii="Calibri" w:eastAsia="Times New Roman" w:hAnsi="Calibri" w:cs="Times New Roman"/>
                <w:bCs/>
                <w:color w:val="000000"/>
                <w:sz w:val="14"/>
                <w:szCs w:val="16"/>
                <w:lang w:eastAsia="es-MX"/>
              </w:rPr>
              <w:t>por la posición estimada obtenida en 2021.</w:t>
            </w:r>
          </w:p>
          <w:p w14:paraId="09EEB856" w14:textId="77777777" w:rsidR="00413B2A" w:rsidRPr="00F1446C" w:rsidRDefault="00413B2A" w:rsidP="00C76217">
            <w:pPr>
              <w:spacing w:after="0" w:line="240" w:lineRule="auto"/>
              <w:rPr>
                <w:rFonts w:ascii="Calibri" w:eastAsia="Times New Roman" w:hAnsi="Calibri" w:cs="Times New Roman"/>
                <w:bCs/>
                <w:color w:val="000000"/>
                <w:sz w:val="14"/>
                <w:szCs w:val="16"/>
                <w:lang w:eastAsia="es-MX"/>
              </w:rPr>
            </w:pPr>
            <w:r w:rsidRPr="00F1446C">
              <w:rPr>
                <w:rFonts w:ascii="Calibri" w:eastAsia="Times New Roman" w:hAnsi="Calibri" w:cs="Times New Roman"/>
                <w:bCs/>
                <w:color w:val="000000"/>
                <w:sz w:val="14"/>
                <w:szCs w:val="16"/>
                <w:lang w:eastAsia="es-MX"/>
              </w:rPr>
              <w:t>** Las posiciones generales en color azul fueron estimadas por la Dirección General de Evaluación Institucional (DGEI-UNAM).</w:t>
            </w:r>
          </w:p>
        </w:tc>
      </w:tr>
    </w:tbl>
    <w:p w14:paraId="204CD099" w14:textId="3DEB4CEE" w:rsidR="00413B2A" w:rsidRDefault="00413B2A" w:rsidP="00413B2A">
      <w:pPr>
        <w:pStyle w:val="ListParagraph"/>
        <w:spacing w:after="0" w:line="240" w:lineRule="auto"/>
        <w:ind w:left="0"/>
        <w:jc w:val="both"/>
        <w:rPr>
          <w:sz w:val="24"/>
        </w:rPr>
      </w:pPr>
    </w:p>
    <w:p w14:paraId="7E8F6AC8" w14:textId="77777777" w:rsidR="00413B2A" w:rsidRPr="00E835EC" w:rsidRDefault="00413B2A" w:rsidP="00413B2A">
      <w:pPr>
        <w:pStyle w:val="ListParagraph"/>
        <w:numPr>
          <w:ilvl w:val="0"/>
          <w:numId w:val="1"/>
        </w:numPr>
        <w:spacing w:after="0" w:line="240" w:lineRule="auto"/>
        <w:ind w:left="0"/>
        <w:jc w:val="both"/>
        <w:rPr>
          <w:sz w:val="24"/>
        </w:rPr>
      </w:pPr>
      <w:r w:rsidRPr="00E835EC">
        <w:rPr>
          <w:sz w:val="24"/>
        </w:rPr>
        <w:t xml:space="preserve">Las universidades de </w:t>
      </w:r>
      <w:r>
        <w:rPr>
          <w:sz w:val="24"/>
        </w:rPr>
        <w:t>América Latina</w:t>
      </w:r>
      <w:r w:rsidRPr="00E835EC">
        <w:rPr>
          <w:sz w:val="24"/>
        </w:rPr>
        <w:t xml:space="preserve"> clasificadas en los primeros 5 lugares son:</w:t>
      </w:r>
      <w:r>
        <w:rPr>
          <w:sz w:val="24"/>
        </w:rPr>
        <w:t xml:space="preserve"> </w:t>
      </w:r>
      <w:r w:rsidRPr="00E835EC">
        <w:rPr>
          <w:sz w:val="24"/>
          <w:szCs w:val="24"/>
        </w:rPr>
        <w:t>La Universidad de São Paulo (118º Mundial, 1º América Latina), la Universidad Nacional Autónoma de México (253º Mundial, 2º América Latina), la Universidad de Buenos Aires (268º Mundial, 3º América Latina), la Universidad Estatal Paulista (355º Mundial, 4º América Latina), y la Universidad de Campinas (359º Mundial, 5º América Latina).</w:t>
      </w:r>
    </w:p>
    <w:p w14:paraId="5F006919" w14:textId="77777777" w:rsidR="00413B2A" w:rsidRPr="00F1446C" w:rsidRDefault="00413B2A" w:rsidP="00413B2A">
      <w:pPr>
        <w:pStyle w:val="ListParagraph"/>
        <w:spacing w:after="0" w:line="240" w:lineRule="auto"/>
        <w:ind w:left="0"/>
        <w:jc w:val="both"/>
        <w:rPr>
          <w:sz w:val="24"/>
        </w:rPr>
      </w:pPr>
    </w:p>
    <w:p w14:paraId="2DCCDA65" w14:textId="7B98E186" w:rsidR="00413B2A" w:rsidRPr="00F1446C" w:rsidRDefault="00413B2A" w:rsidP="00413B2A">
      <w:pPr>
        <w:pStyle w:val="ListParagraph"/>
        <w:numPr>
          <w:ilvl w:val="0"/>
          <w:numId w:val="1"/>
        </w:numPr>
        <w:spacing w:after="0" w:line="240" w:lineRule="auto"/>
        <w:ind w:left="0"/>
        <w:jc w:val="both"/>
        <w:rPr>
          <w:sz w:val="24"/>
        </w:rPr>
      </w:pPr>
      <w:r w:rsidRPr="00F1446C">
        <w:rPr>
          <w:sz w:val="24"/>
        </w:rPr>
        <w:t xml:space="preserve">El comportamiento de </w:t>
      </w:r>
      <w:r w:rsidR="009D5A33">
        <w:rPr>
          <w:sz w:val="24"/>
        </w:rPr>
        <w:t>estas</w:t>
      </w:r>
      <w:r w:rsidR="009D5A33" w:rsidRPr="00F1446C">
        <w:rPr>
          <w:sz w:val="24"/>
        </w:rPr>
        <w:t xml:space="preserve"> </w:t>
      </w:r>
      <w:r w:rsidRPr="00F1446C">
        <w:rPr>
          <w:sz w:val="24"/>
        </w:rPr>
        <w:t>universidades en los diferentes indicadores del ranking fue el siguiente:</w:t>
      </w:r>
    </w:p>
    <w:p w14:paraId="26E32744" w14:textId="3310D0E9" w:rsidR="00413B2A" w:rsidRPr="00F1446C" w:rsidRDefault="00413B2A" w:rsidP="00413B2A">
      <w:pPr>
        <w:pStyle w:val="ListParagraph"/>
        <w:numPr>
          <w:ilvl w:val="0"/>
          <w:numId w:val="4"/>
        </w:numPr>
        <w:spacing w:after="0" w:line="240" w:lineRule="auto"/>
        <w:jc w:val="both"/>
        <w:rPr>
          <w:sz w:val="24"/>
        </w:rPr>
      </w:pPr>
      <w:r w:rsidRPr="00F1446C">
        <w:rPr>
          <w:b/>
          <w:i/>
          <w:sz w:val="24"/>
        </w:rPr>
        <w:t>Alumni</w:t>
      </w:r>
      <w:r w:rsidRPr="00F1446C">
        <w:rPr>
          <w:b/>
          <w:sz w:val="24"/>
        </w:rPr>
        <w:t>:</w:t>
      </w:r>
      <w:r w:rsidRPr="00F1446C">
        <w:rPr>
          <w:sz w:val="24"/>
        </w:rPr>
        <w:t xml:space="preserve"> </w:t>
      </w:r>
      <w:r>
        <w:rPr>
          <w:sz w:val="24"/>
        </w:rPr>
        <w:t xml:space="preserve">Tanto la </w:t>
      </w:r>
      <w:r w:rsidRPr="00F1446C">
        <w:rPr>
          <w:sz w:val="24"/>
        </w:rPr>
        <w:t xml:space="preserve">UNAM </w:t>
      </w:r>
      <w:r>
        <w:rPr>
          <w:sz w:val="24"/>
        </w:rPr>
        <w:t xml:space="preserve">como la </w:t>
      </w:r>
      <w:r w:rsidRPr="00E835EC">
        <w:rPr>
          <w:sz w:val="24"/>
        </w:rPr>
        <w:t>Universidad de Buenos Aires</w:t>
      </w:r>
      <w:r>
        <w:rPr>
          <w:sz w:val="24"/>
        </w:rPr>
        <w:t xml:space="preserve"> fueron clasificad</w:t>
      </w:r>
      <w:r w:rsidR="009D5A33">
        <w:rPr>
          <w:sz w:val="24"/>
        </w:rPr>
        <w:t>a</w:t>
      </w:r>
      <w:r>
        <w:rPr>
          <w:sz w:val="24"/>
        </w:rPr>
        <w:t xml:space="preserve">s </w:t>
      </w:r>
      <w:r w:rsidRPr="00F1446C">
        <w:rPr>
          <w:sz w:val="24"/>
        </w:rPr>
        <w:t>con un puntaje de 11.9 El resto de las universidades obtuvieron un puntaje de 0.</w:t>
      </w:r>
    </w:p>
    <w:p w14:paraId="7366159F" w14:textId="77777777" w:rsidR="00413B2A" w:rsidRPr="00F1446C" w:rsidRDefault="00413B2A" w:rsidP="00413B2A">
      <w:pPr>
        <w:pStyle w:val="ListParagraph"/>
        <w:numPr>
          <w:ilvl w:val="0"/>
          <w:numId w:val="4"/>
        </w:numPr>
        <w:spacing w:after="0" w:line="240" w:lineRule="auto"/>
        <w:jc w:val="both"/>
        <w:rPr>
          <w:sz w:val="24"/>
        </w:rPr>
      </w:pPr>
      <w:r w:rsidRPr="00F1446C">
        <w:rPr>
          <w:b/>
          <w:i/>
          <w:sz w:val="24"/>
        </w:rPr>
        <w:t>Award</w:t>
      </w:r>
      <w:r w:rsidRPr="00F1446C">
        <w:rPr>
          <w:b/>
          <w:sz w:val="24"/>
        </w:rPr>
        <w:t>:</w:t>
      </w:r>
      <w:r w:rsidRPr="00F1446C">
        <w:rPr>
          <w:sz w:val="24"/>
        </w:rPr>
        <w:t xml:space="preserve"> La </w:t>
      </w:r>
      <w:r w:rsidRPr="00E835EC">
        <w:rPr>
          <w:sz w:val="24"/>
        </w:rPr>
        <w:t>Universidad de Buenos Aires</w:t>
      </w:r>
      <w:r>
        <w:rPr>
          <w:sz w:val="24"/>
        </w:rPr>
        <w:t xml:space="preserve"> recibió </w:t>
      </w:r>
      <w:r w:rsidRPr="00F1446C">
        <w:rPr>
          <w:sz w:val="24"/>
        </w:rPr>
        <w:t xml:space="preserve">un puntaje de </w:t>
      </w:r>
      <w:r w:rsidRPr="00E835EC">
        <w:rPr>
          <w:sz w:val="24"/>
        </w:rPr>
        <w:t>23.2</w:t>
      </w:r>
      <w:r w:rsidRPr="00F1446C">
        <w:rPr>
          <w:sz w:val="24"/>
        </w:rPr>
        <w:t>. El resto de las universidades obtuvieron un puntaje de 0.</w:t>
      </w:r>
    </w:p>
    <w:p w14:paraId="68AE7731" w14:textId="407C60B1" w:rsidR="00057B68" w:rsidRPr="00057B68" w:rsidRDefault="00413B2A" w:rsidP="00057B68">
      <w:pPr>
        <w:pStyle w:val="ListParagraph"/>
        <w:numPr>
          <w:ilvl w:val="0"/>
          <w:numId w:val="4"/>
        </w:numPr>
        <w:spacing w:after="0" w:line="240" w:lineRule="auto"/>
        <w:jc w:val="both"/>
        <w:rPr>
          <w:sz w:val="24"/>
        </w:rPr>
      </w:pPr>
      <w:r w:rsidRPr="000A50AD">
        <w:rPr>
          <w:b/>
          <w:i/>
          <w:sz w:val="24"/>
        </w:rPr>
        <w:t>HiCi</w:t>
      </w:r>
      <w:r w:rsidRPr="000A50AD">
        <w:rPr>
          <w:b/>
          <w:sz w:val="24"/>
        </w:rPr>
        <w:t>:</w:t>
      </w:r>
      <w:r w:rsidRPr="000A50AD">
        <w:rPr>
          <w:sz w:val="24"/>
        </w:rPr>
        <w:t xml:space="preserve"> La </w:t>
      </w:r>
      <w:r w:rsidRPr="00421538">
        <w:rPr>
          <w:sz w:val="24"/>
        </w:rPr>
        <w:t xml:space="preserve">Universidad de São Paulo obtuvo un puntaje de 19.3, </w:t>
      </w:r>
      <w:r w:rsidR="009D5A33" w:rsidRPr="00421538">
        <w:rPr>
          <w:sz w:val="24"/>
        </w:rPr>
        <w:t xml:space="preserve">mientras que </w:t>
      </w:r>
      <w:r w:rsidRPr="00421538">
        <w:rPr>
          <w:sz w:val="24"/>
        </w:rPr>
        <w:t xml:space="preserve">la Universidad Estatal Paulista y la Universidad de Campinas recibieron un puntaje de </w:t>
      </w:r>
      <w:r w:rsidRPr="008D7ECF">
        <w:rPr>
          <w:sz w:val="24"/>
        </w:rPr>
        <w:t>7.3. El resto de las universidades obtuvieron un puntaje de 0</w:t>
      </w:r>
      <w:r w:rsidR="00057B68">
        <w:rPr>
          <w:sz w:val="24"/>
        </w:rPr>
        <w:t>.</w:t>
      </w:r>
    </w:p>
    <w:p w14:paraId="22D81383" w14:textId="77777777" w:rsidR="00057B68" w:rsidRPr="000A50AD" w:rsidRDefault="00057B68" w:rsidP="00057B68">
      <w:pPr>
        <w:pStyle w:val="ListParagraph"/>
        <w:numPr>
          <w:ilvl w:val="0"/>
          <w:numId w:val="4"/>
        </w:numPr>
        <w:spacing w:after="0" w:line="240" w:lineRule="auto"/>
        <w:jc w:val="both"/>
        <w:rPr>
          <w:bCs/>
          <w:iCs/>
          <w:sz w:val="24"/>
        </w:rPr>
      </w:pPr>
      <w:r w:rsidRPr="000A50AD">
        <w:rPr>
          <w:b/>
          <w:i/>
          <w:sz w:val="24"/>
        </w:rPr>
        <w:t>N&amp;S</w:t>
      </w:r>
      <w:r w:rsidRPr="000A50AD">
        <w:rPr>
          <w:b/>
          <w:sz w:val="24"/>
        </w:rPr>
        <w:t>:</w:t>
      </w:r>
      <w:r w:rsidRPr="000A50AD">
        <w:rPr>
          <w:sz w:val="24"/>
        </w:rPr>
        <w:t xml:space="preserve"> </w:t>
      </w:r>
      <w:r w:rsidRPr="000A50AD">
        <w:rPr>
          <w:bCs/>
          <w:iCs/>
          <w:sz w:val="24"/>
        </w:rPr>
        <w:t>La Universidad de São Paulo fue clasificada con un puntaje de 14.3, la UNAM de 11.4, la Universidad de Buenos Aires de 7.4, la Universidad de Campinas de 6.7, y la Universidad Estatal Paulista de 3.5</w:t>
      </w:r>
      <w:r>
        <w:rPr>
          <w:bCs/>
          <w:iCs/>
          <w:sz w:val="24"/>
        </w:rPr>
        <w:t xml:space="preserve"> puntos.</w:t>
      </w:r>
    </w:p>
    <w:p w14:paraId="5671408F" w14:textId="77777777" w:rsidR="00057B68" w:rsidRDefault="00057B68" w:rsidP="00057B68">
      <w:pPr>
        <w:pStyle w:val="ListParagraph"/>
        <w:numPr>
          <w:ilvl w:val="0"/>
          <w:numId w:val="4"/>
        </w:numPr>
        <w:spacing w:after="0" w:line="240" w:lineRule="auto"/>
        <w:jc w:val="both"/>
        <w:rPr>
          <w:bCs/>
          <w:iCs/>
          <w:sz w:val="24"/>
        </w:rPr>
      </w:pPr>
      <w:r w:rsidRPr="000A50AD">
        <w:rPr>
          <w:b/>
          <w:i/>
          <w:sz w:val="24"/>
        </w:rPr>
        <w:t>PUB</w:t>
      </w:r>
      <w:r w:rsidRPr="000A50AD">
        <w:rPr>
          <w:b/>
          <w:sz w:val="24"/>
        </w:rPr>
        <w:t>:</w:t>
      </w:r>
      <w:r w:rsidRPr="000A50AD">
        <w:rPr>
          <w:sz w:val="24"/>
        </w:rPr>
        <w:t xml:space="preserve"> La </w:t>
      </w:r>
      <w:r w:rsidRPr="000A50AD">
        <w:rPr>
          <w:bCs/>
          <w:iCs/>
          <w:sz w:val="24"/>
        </w:rPr>
        <w:t>Universidad de São Paulo recibió un puntaje de 76.9, la UNAM de 53.9, la Universidad Estatal Paulista de 48.1, la Universidad de Campinas de 45.2, y la Universidad de Buenos Aires de 35.1</w:t>
      </w:r>
      <w:r>
        <w:rPr>
          <w:bCs/>
          <w:iCs/>
          <w:sz w:val="24"/>
        </w:rPr>
        <w:t xml:space="preserve"> puntos.</w:t>
      </w:r>
    </w:p>
    <w:p w14:paraId="6D8A8EFC" w14:textId="1DB7F64F" w:rsidR="00413B2A" w:rsidRPr="00057B68" w:rsidRDefault="00057B68" w:rsidP="00057B68">
      <w:pPr>
        <w:pStyle w:val="ListParagraph"/>
        <w:numPr>
          <w:ilvl w:val="0"/>
          <w:numId w:val="4"/>
        </w:numPr>
        <w:spacing w:after="0" w:line="240" w:lineRule="auto"/>
        <w:jc w:val="both"/>
        <w:rPr>
          <w:bCs/>
          <w:iCs/>
          <w:sz w:val="24"/>
        </w:rPr>
      </w:pPr>
      <w:r w:rsidRPr="000A50AD">
        <w:rPr>
          <w:b/>
          <w:i/>
          <w:sz w:val="24"/>
        </w:rPr>
        <w:t>PCP</w:t>
      </w:r>
      <w:r w:rsidRPr="000A50AD">
        <w:rPr>
          <w:b/>
          <w:sz w:val="24"/>
        </w:rPr>
        <w:t>:</w:t>
      </w:r>
      <w:r w:rsidRPr="000A50AD">
        <w:rPr>
          <w:sz w:val="24"/>
        </w:rPr>
        <w:t xml:space="preserve"> La UNAM fue clasificada con 22.1 puntos, la Universidad Estatal Paulista con 19.4, la Universidad de Campinas con 18.4, la Universidad de São Paulo con 17.9, y la Universidad de Buenos Aires con 17.3 puntos.</w:t>
      </w:r>
    </w:p>
    <w:p w14:paraId="7C42B5A3" w14:textId="77777777" w:rsidR="00413B2A" w:rsidRPr="00F1446C" w:rsidRDefault="00413B2A" w:rsidP="00413B2A">
      <w:pPr>
        <w:spacing w:after="0" w:line="240" w:lineRule="auto"/>
        <w:jc w:val="both"/>
        <w:rPr>
          <w:bCs/>
          <w:sz w:val="24"/>
        </w:rPr>
      </w:pPr>
    </w:p>
    <w:tbl>
      <w:tblPr>
        <w:tblStyle w:val="TableGrid"/>
        <w:tblW w:w="11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0"/>
      </w:tblGrid>
      <w:tr w:rsidR="00413B2A" w:rsidRPr="00F1446C" w14:paraId="618E2910" w14:textId="77777777" w:rsidTr="00C76217">
        <w:trPr>
          <w:trHeight w:val="73"/>
          <w:jc w:val="center"/>
        </w:trPr>
        <w:tc>
          <w:tcPr>
            <w:tcW w:w="11660" w:type="dxa"/>
          </w:tcPr>
          <w:p w14:paraId="263F32D7" w14:textId="3D3E5FB8" w:rsidR="00413B2A" w:rsidRPr="00F1446C" w:rsidRDefault="00413B2A" w:rsidP="00C76217">
            <w:pPr>
              <w:jc w:val="center"/>
              <w:rPr>
                <w:b/>
                <w:sz w:val="20"/>
                <w:szCs w:val="20"/>
              </w:rPr>
            </w:pPr>
            <w:r w:rsidRPr="00F1446C">
              <w:rPr>
                <w:sz w:val="20"/>
                <w:szCs w:val="20"/>
              </w:rPr>
              <w:br w:type="page"/>
            </w:r>
            <w:r w:rsidRPr="00F1446C">
              <w:rPr>
                <w:sz w:val="20"/>
                <w:szCs w:val="20"/>
              </w:rPr>
              <w:br w:type="page"/>
            </w:r>
            <w:r w:rsidRPr="00F1446C">
              <w:rPr>
                <w:b/>
                <w:sz w:val="20"/>
                <w:szCs w:val="20"/>
              </w:rPr>
              <w:t>Gráfico 2. Comparación de la posición obtenida por las primeras 5 universidades</w:t>
            </w:r>
            <w:r w:rsidR="00CD5556">
              <w:rPr>
                <w:b/>
                <w:sz w:val="20"/>
                <w:szCs w:val="20"/>
              </w:rPr>
              <w:t xml:space="preserve"> latinoamericanas</w:t>
            </w:r>
            <w:r w:rsidRPr="00F1446C">
              <w:rPr>
                <w:b/>
                <w:sz w:val="20"/>
                <w:szCs w:val="20"/>
              </w:rPr>
              <w:t xml:space="preserve"> clasificadas en el Ranking ARWU, 2017-2021.</w:t>
            </w:r>
          </w:p>
        </w:tc>
      </w:tr>
      <w:tr w:rsidR="00413B2A" w:rsidRPr="00F1446C" w14:paraId="57010B6F" w14:textId="77777777" w:rsidTr="00C76217">
        <w:tblPrEx>
          <w:tblCellMar>
            <w:left w:w="70" w:type="dxa"/>
            <w:right w:w="70" w:type="dxa"/>
          </w:tblCellMar>
        </w:tblPrEx>
        <w:trPr>
          <w:cantSplit/>
          <w:trHeight w:val="1636"/>
          <w:jc w:val="center"/>
        </w:trPr>
        <w:tc>
          <w:tcPr>
            <w:tcW w:w="11660" w:type="dxa"/>
            <w:vAlign w:val="center"/>
          </w:tcPr>
          <w:p w14:paraId="25CA252E" w14:textId="77777777" w:rsidR="00413B2A" w:rsidRPr="00870139" w:rsidRDefault="00413B2A" w:rsidP="00C76217">
            <w:pPr>
              <w:jc w:val="center"/>
              <w:rPr>
                <w:noProof/>
              </w:rPr>
            </w:pPr>
            <w:r>
              <w:rPr>
                <w:noProof/>
              </w:rPr>
              <w:drawing>
                <wp:inline distT="0" distB="0" distL="0" distR="0" wp14:anchorId="207D9C49" wp14:editId="0DE14FA0">
                  <wp:extent cx="7597140" cy="2461260"/>
                  <wp:effectExtent l="0" t="0" r="3810" b="0"/>
                  <wp:docPr id="3" name="Gráfico 3">
                    <a:extLst xmlns:a="http://schemas.openxmlformats.org/drawingml/2006/main">
                      <a:ext uri="{FF2B5EF4-FFF2-40B4-BE49-F238E27FC236}">
                        <a16:creationId xmlns:a16="http://schemas.microsoft.com/office/drawing/2014/main" id="{3F8CB7DB-EB03-4FA8-ABA3-3D8AB44DA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5E20843A" w14:textId="77777777" w:rsidR="00413B2A" w:rsidRPr="00F1446C" w:rsidRDefault="00413B2A" w:rsidP="00413B2A">
      <w:pPr>
        <w:pStyle w:val="ListParagraph"/>
        <w:spacing w:after="0" w:line="240" w:lineRule="auto"/>
        <w:ind w:left="0"/>
        <w:jc w:val="both"/>
        <w:rPr>
          <w:b/>
          <w:sz w:val="24"/>
        </w:rPr>
      </w:pPr>
    </w:p>
    <w:p w14:paraId="5390C596" w14:textId="34661A5B" w:rsidR="004B6042" w:rsidRPr="00F1446C" w:rsidRDefault="000C4129" w:rsidP="00301FE5">
      <w:pPr>
        <w:pStyle w:val="ListParagraph"/>
        <w:spacing w:after="0" w:line="240" w:lineRule="auto"/>
        <w:ind w:left="0"/>
        <w:jc w:val="both"/>
        <w:rPr>
          <w:b/>
          <w:sz w:val="24"/>
        </w:rPr>
      </w:pPr>
      <w:r w:rsidRPr="00F1446C">
        <w:rPr>
          <w:b/>
          <w:sz w:val="24"/>
        </w:rPr>
        <w:t>C</w:t>
      </w:r>
      <w:r w:rsidR="008F37DB" w:rsidRPr="00F1446C">
        <w:rPr>
          <w:b/>
          <w:sz w:val="24"/>
        </w:rPr>
        <w:t>omportamiento</w:t>
      </w:r>
      <w:r w:rsidR="00670182" w:rsidRPr="00F1446C">
        <w:rPr>
          <w:b/>
          <w:sz w:val="24"/>
        </w:rPr>
        <w:t xml:space="preserve"> </w:t>
      </w:r>
      <w:r w:rsidR="008F37DB" w:rsidRPr="00F1446C">
        <w:rPr>
          <w:b/>
          <w:sz w:val="24"/>
        </w:rPr>
        <w:t>de</w:t>
      </w:r>
      <w:r w:rsidR="00670182" w:rsidRPr="00F1446C">
        <w:rPr>
          <w:b/>
          <w:sz w:val="24"/>
        </w:rPr>
        <w:t xml:space="preserve"> </w:t>
      </w:r>
      <w:r w:rsidR="008F37DB" w:rsidRPr="00F1446C">
        <w:rPr>
          <w:b/>
          <w:sz w:val="24"/>
        </w:rPr>
        <w:t>la</w:t>
      </w:r>
      <w:r w:rsidR="00670182" w:rsidRPr="00F1446C">
        <w:rPr>
          <w:b/>
          <w:sz w:val="24"/>
        </w:rPr>
        <w:t xml:space="preserve"> </w:t>
      </w:r>
      <w:r w:rsidR="008F37DB" w:rsidRPr="00F1446C">
        <w:rPr>
          <w:b/>
          <w:sz w:val="24"/>
        </w:rPr>
        <w:t>UNAM</w:t>
      </w:r>
      <w:r w:rsidR="00670182" w:rsidRPr="00F1446C">
        <w:rPr>
          <w:b/>
          <w:sz w:val="24"/>
        </w:rPr>
        <w:t xml:space="preserve"> </w:t>
      </w:r>
    </w:p>
    <w:p w14:paraId="1CD0A4B6" w14:textId="33F3DE2B" w:rsidR="00CD5556" w:rsidRDefault="00301FE5" w:rsidP="00920BDC">
      <w:pPr>
        <w:pStyle w:val="ListParagraph"/>
        <w:numPr>
          <w:ilvl w:val="0"/>
          <w:numId w:val="1"/>
        </w:numPr>
        <w:spacing w:after="0" w:line="240" w:lineRule="auto"/>
        <w:ind w:left="0"/>
        <w:jc w:val="both"/>
        <w:rPr>
          <w:sz w:val="24"/>
          <w:szCs w:val="24"/>
        </w:rPr>
      </w:pPr>
      <w:r w:rsidRPr="00F1446C">
        <w:rPr>
          <w:sz w:val="24"/>
          <w:szCs w:val="24"/>
        </w:rPr>
        <w:t>En el periodo 201</w:t>
      </w:r>
      <w:r w:rsidR="00875578" w:rsidRPr="00F1446C">
        <w:rPr>
          <w:sz w:val="24"/>
          <w:szCs w:val="24"/>
        </w:rPr>
        <w:t>7</w:t>
      </w:r>
      <w:r w:rsidRPr="00F1446C">
        <w:rPr>
          <w:sz w:val="24"/>
          <w:szCs w:val="24"/>
        </w:rPr>
        <w:t>-20</w:t>
      </w:r>
      <w:r w:rsidR="00875578" w:rsidRPr="00F1446C">
        <w:rPr>
          <w:sz w:val="24"/>
          <w:szCs w:val="24"/>
        </w:rPr>
        <w:t>19</w:t>
      </w:r>
      <w:r w:rsidRPr="00F1446C">
        <w:rPr>
          <w:sz w:val="24"/>
          <w:szCs w:val="24"/>
        </w:rPr>
        <w:t xml:space="preserve">, la UNAM </w:t>
      </w:r>
      <w:r w:rsidR="00320554" w:rsidRPr="00F1446C">
        <w:rPr>
          <w:sz w:val="24"/>
        </w:rPr>
        <w:t xml:space="preserve">mejoró en 15 </w:t>
      </w:r>
      <w:r w:rsidRPr="00F1446C">
        <w:rPr>
          <w:sz w:val="24"/>
          <w:szCs w:val="24"/>
        </w:rPr>
        <w:t>lugares en el ranking</w:t>
      </w:r>
      <w:r w:rsidR="00320554" w:rsidRPr="00F1446C">
        <w:rPr>
          <w:sz w:val="24"/>
          <w:szCs w:val="24"/>
        </w:rPr>
        <w:t>,</w:t>
      </w:r>
      <w:r w:rsidR="00C56E87" w:rsidRPr="00F1446C">
        <w:rPr>
          <w:sz w:val="24"/>
          <w:szCs w:val="24"/>
        </w:rPr>
        <w:t xml:space="preserve"> al pasar del lugar </w:t>
      </w:r>
      <w:r w:rsidR="00320554" w:rsidRPr="00F1446C">
        <w:rPr>
          <w:sz w:val="24"/>
          <w:szCs w:val="24"/>
        </w:rPr>
        <w:t xml:space="preserve">246 </w:t>
      </w:r>
      <w:r w:rsidR="00C56E87" w:rsidRPr="00F1446C">
        <w:rPr>
          <w:sz w:val="24"/>
          <w:szCs w:val="24"/>
        </w:rPr>
        <w:t xml:space="preserve">en </w:t>
      </w:r>
      <w:r w:rsidR="00320554" w:rsidRPr="00F1446C">
        <w:rPr>
          <w:sz w:val="24"/>
          <w:szCs w:val="24"/>
        </w:rPr>
        <w:t xml:space="preserve">2017 </w:t>
      </w:r>
      <w:r w:rsidR="00C56E87" w:rsidRPr="00F1446C">
        <w:rPr>
          <w:sz w:val="24"/>
          <w:szCs w:val="24"/>
        </w:rPr>
        <w:t xml:space="preserve">al lugar </w:t>
      </w:r>
      <w:r w:rsidR="00320554" w:rsidRPr="00F1446C">
        <w:rPr>
          <w:sz w:val="24"/>
          <w:szCs w:val="24"/>
        </w:rPr>
        <w:t xml:space="preserve">231 </w:t>
      </w:r>
      <w:r w:rsidR="00C56E87" w:rsidRPr="00F1446C">
        <w:rPr>
          <w:sz w:val="24"/>
          <w:szCs w:val="24"/>
        </w:rPr>
        <w:t xml:space="preserve">en </w:t>
      </w:r>
      <w:r w:rsidR="00320554" w:rsidRPr="00F1446C">
        <w:rPr>
          <w:sz w:val="24"/>
          <w:szCs w:val="24"/>
        </w:rPr>
        <w:t xml:space="preserve">2019. Sin embargo, en los últimos 3 años </w:t>
      </w:r>
      <w:r w:rsidR="003E005A">
        <w:rPr>
          <w:sz w:val="24"/>
          <w:szCs w:val="24"/>
        </w:rPr>
        <w:t xml:space="preserve">se </w:t>
      </w:r>
      <w:r w:rsidR="00320554" w:rsidRPr="00F1446C">
        <w:rPr>
          <w:sz w:val="24"/>
          <w:szCs w:val="24"/>
        </w:rPr>
        <w:t xml:space="preserve">ha presentado una caída de 22 posiciones </w:t>
      </w:r>
      <w:r w:rsidRPr="00F1446C">
        <w:rPr>
          <w:i/>
          <w:iCs/>
          <w:sz w:val="24"/>
          <w:szCs w:val="24"/>
        </w:rPr>
        <w:t>(ver</w:t>
      </w:r>
      <w:r w:rsidRPr="00F1446C">
        <w:rPr>
          <w:sz w:val="24"/>
          <w:szCs w:val="24"/>
        </w:rPr>
        <w:t xml:space="preserve"> </w:t>
      </w:r>
      <w:r w:rsidR="0042490C" w:rsidRPr="00F1446C">
        <w:rPr>
          <w:sz w:val="24"/>
          <w:szCs w:val="24"/>
        </w:rPr>
        <w:t>tabla 3</w:t>
      </w:r>
      <w:r w:rsidRPr="00F1446C">
        <w:rPr>
          <w:sz w:val="24"/>
          <w:szCs w:val="24"/>
        </w:rPr>
        <w:t>).</w:t>
      </w:r>
      <w:r w:rsidR="00CD5556">
        <w:rPr>
          <w:sz w:val="24"/>
          <w:szCs w:val="24"/>
        </w:rPr>
        <w:t xml:space="preserve"> En general, el comportamiento de la UNAM ha sido hacia la baja: del lugar 218 al lugar 268. En contraste, las 3 universidades brasileñas –la Universidad de S</w:t>
      </w:r>
      <w:r w:rsidR="00DD271C">
        <w:rPr>
          <w:sz w:val="24"/>
          <w:szCs w:val="24"/>
        </w:rPr>
        <w:t>ã</w:t>
      </w:r>
      <w:r w:rsidR="00CD5556">
        <w:rPr>
          <w:sz w:val="24"/>
          <w:szCs w:val="24"/>
        </w:rPr>
        <w:t>o Paulo, la Universidad de Campinas y la Universidad Estatal Paulista—,</w:t>
      </w:r>
    </w:p>
    <w:p w14:paraId="5ABEE49C" w14:textId="1719287C" w:rsidR="00301FE5" w:rsidRPr="00F1446C" w:rsidRDefault="00CD5556" w:rsidP="003C40A4">
      <w:pPr>
        <w:pStyle w:val="ListParagraph"/>
        <w:spacing w:after="0" w:line="240" w:lineRule="auto"/>
        <w:ind w:left="0"/>
        <w:jc w:val="both"/>
        <w:rPr>
          <w:sz w:val="24"/>
          <w:szCs w:val="24"/>
        </w:rPr>
      </w:pPr>
      <w:r>
        <w:rPr>
          <w:sz w:val="24"/>
          <w:szCs w:val="24"/>
        </w:rPr>
        <w:t xml:space="preserve"> han registrado mejorías de 6, 59 y 61 posiciones, respectivamente. </w:t>
      </w:r>
    </w:p>
    <w:p w14:paraId="52AAAC59" w14:textId="33DEDE5A" w:rsidR="00EF1574" w:rsidRPr="00F1446C" w:rsidRDefault="00D262FB" w:rsidP="00EF1574">
      <w:pPr>
        <w:pStyle w:val="ListParagraph"/>
        <w:numPr>
          <w:ilvl w:val="0"/>
          <w:numId w:val="3"/>
        </w:numPr>
        <w:spacing w:after="0" w:line="240" w:lineRule="auto"/>
        <w:jc w:val="both"/>
        <w:rPr>
          <w:sz w:val="24"/>
          <w:szCs w:val="24"/>
        </w:rPr>
      </w:pPr>
      <w:r w:rsidRPr="00F1446C">
        <w:rPr>
          <w:b/>
          <w:bCs/>
          <w:sz w:val="24"/>
          <w:szCs w:val="24"/>
        </w:rPr>
        <w:t>Posición</w:t>
      </w:r>
      <w:r w:rsidR="00670182" w:rsidRPr="00F1446C">
        <w:rPr>
          <w:b/>
          <w:bCs/>
          <w:sz w:val="24"/>
          <w:szCs w:val="24"/>
        </w:rPr>
        <w:t xml:space="preserve"> </w:t>
      </w:r>
      <w:r w:rsidRPr="00F1446C">
        <w:rPr>
          <w:b/>
          <w:bCs/>
          <w:sz w:val="24"/>
          <w:szCs w:val="24"/>
        </w:rPr>
        <w:t>General</w:t>
      </w:r>
      <w:r w:rsidRPr="00F1446C">
        <w:rPr>
          <w:sz w:val="24"/>
          <w:szCs w:val="24"/>
        </w:rPr>
        <w:t>:</w:t>
      </w:r>
      <w:r w:rsidR="00670182" w:rsidRPr="00F1446C">
        <w:rPr>
          <w:sz w:val="24"/>
          <w:szCs w:val="24"/>
        </w:rPr>
        <w:t xml:space="preserve"> </w:t>
      </w:r>
      <w:r w:rsidR="00EF1574" w:rsidRPr="00F1446C">
        <w:rPr>
          <w:sz w:val="24"/>
          <w:szCs w:val="24"/>
        </w:rPr>
        <w:t>E</w:t>
      </w:r>
      <w:r w:rsidR="003068E2" w:rsidRPr="00F1446C">
        <w:rPr>
          <w:sz w:val="24"/>
          <w:szCs w:val="24"/>
        </w:rPr>
        <w:t xml:space="preserve">l ranking clasificó a la </w:t>
      </w:r>
      <w:r w:rsidR="00BB4B6E" w:rsidRPr="00F1446C">
        <w:rPr>
          <w:sz w:val="24"/>
          <w:szCs w:val="24"/>
        </w:rPr>
        <w:t>UNAM</w:t>
      </w:r>
      <w:r w:rsidR="00670182" w:rsidRPr="00F1446C">
        <w:rPr>
          <w:sz w:val="24"/>
          <w:szCs w:val="24"/>
        </w:rPr>
        <w:t xml:space="preserve"> </w:t>
      </w:r>
      <w:r w:rsidR="003068E2" w:rsidRPr="00F1446C">
        <w:rPr>
          <w:sz w:val="24"/>
          <w:szCs w:val="24"/>
        </w:rPr>
        <w:t xml:space="preserve">en el </w:t>
      </w:r>
      <w:r w:rsidR="003068E2" w:rsidRPr="00F1446C">
        <w:rPr>
          <w:b/>
          <w:bCs/>
          <w:sz w:val="24"/>
          <w:szCs w:val="24"/>
        </w:rPr>
        <w:t>rango 201-300</w:t>
      </w:r>
      <w:r w:rsidR="00EF1574" w:rsidRPr="00F1446C">
        <w:rPr>
          <w:sz w:val="24"/>
          <w:szCs w:val="24"/>
        </w:rPr>
        <w:t xml:space="preserve">. Considerando </w:t>
      </w:r>
      <w:r w:rsidR="001156D9" w:rsidRPr="00F1446C">
        <w:rPr>
          <w:sz w:val="24"/>
          <w:szCs w:val="24"/>
        </w:rPr>
        <w:t xml:space="preserve">el </w:t>
      </w:r>
      <w:r w:rsidR="00EF1574" w:rsidRPr="00F1446C">
        <w:rPr>
          <w:sz w:val="24"/>
          <w:szCs w:val="24"/>
        </w:rPr>
        <w:t>cálculo</w:t>
      </w:r>
      <w:r w:rsidR="001156D9" w:rsidRPr="00F1446C">
        <w:rPr>
          <w:sz w:val="24"/>
          <w:szCs w:val="24"/>
        </w:rPr>
        <w:t xml:space="preserve"> </w:t>
      </w:r>
      <w:r w:rsidR="00EF1574" w:rsidRPr="00F1446C">
        <w:rPr>
          <w:sz w:val="24"/>
          <w:szCs w:val="24"/>
        </w:rPr>
        <w:t xml:space="preserve">estimado </w:t>
      </w:r>
      <w:r w:rsidR="001156D9" w:rsidRPr="00F1446C">
        <w:rPr>
          <w:sz w:val="24"/>
          <w:szCs w:val="24"/>
        </w:rPr>
        <w:t>realizado por la DGEI</w:t>
      </w:r>
      <w:r w:rsidR="00EF1574" w:rsidRPr="00F1446C">
        <w:rPr>
          <w:sz w:val="24"/>
          <w:szCs w:val="24"/>
        </w:rPr>
        <w:t xml:space="preserve"> </w:t>
      </w:r>
      <w:r w:rsidR="00EF1574" w:rsidRPr="00F1446C">
        <w:rPr>
          <w:sz w:val="24"/>
        </w:rPr>
        <w:t xml:space="preserve">a la UNAM le corresponde la </w:t>
      </w:r>
      <w:r w:rsidR="00EF1574" w:rsidRPr="00F1446C">
        <w:rPr>
          <w:b/>
          <w:bCs/>
          <w:sz w:val="24"/>
        </w:rPr>
        <w:t>posición 253</w:t>
      </w:r>
      <w:r w:rsidR="00EF1574" w:rsidRPr="00F1446C">
        <w:rPr>
          <w:sz w:val="24"/>
        </w:rPr>
        <w:t>, lo cual representa un decremento de 6 posiciones al contrastarlo con el ARWU 2020.</w:t>
      </w:r>
    </w:p>
    <w:p w14:paraId="0A0B3158" w14:textId="6885037F" w:rsidR="004B6042" w:rsidRPr="00F1446C" w:rsidRDefault="00AD28FC" w:rsidP="00920BDC">
      <w:pPr>
        <w:pStyle w:val="ListParagraph"/>
        <w:numPr>
          <w:ilvl w:val="0"/>
          <w:numId w:val="3"/>
        </w:numPr>
        <w:spacing w:after="0" w:line="240" w:lineRule="auto"/>
        <w:jc w:val="both"/>
        <w:rPr>
          <w:sz w:val="24"/>
          <w:szCs w:val="24"/>
        </w:rPr>
      </w:pPr>
      <w:bookmarkStart w:id="2" w:name="_Hlk80632512"/>
      <w:r w:rsidRPr="00F1446C">
        <w:rPr>
          <w:sz w:val="24"/>
          <w:szCs w:val="24"/>
        </w:rPr>
        <w:t>Se</w:t>
      </w:r>
      <w:r w:rsidR="00670182" w:rsidRPr="00F1446C">
        <w:rPr>
          <w:sz w:val="24"/>
          <w:szCs w:val="24"/>
        </w:rPr>
        <w:t xml:space="preserve"> </w:t>
      </w:r>
      <w:r w:rsidRPr="00F1446C">
        <w:rPr>
          <w:sz w:val="24"/>
          <w:szCs w:val="24"/>
        </w:rPr>
        <w:t>presentó</w:t>
      </w:r>
      <w:r w:rsidR="00670182" w:rsidRPr="00F1446C">
        <w:rPr>
          <w:sz w:val="24"/>
          <w:szCs w:val="24"/>
        </w:rPr>
        <w:t xml:space="preserve"> </w:t>
      </w:r>
      <w:r w:rsidRPr="00F1446C">
        <w:rPr>
          <w:sz w:val="24"/>
          <w:szCs w:val="24"/>
        </w:rPr>
        <w:t>un</w:t>
      </w:r>
      <w:r w:rsidR="00670182" w:rsidRPr="00F1446C">
        <w:rPr>
          <w:sz w:val="24"/>
          <w:szCs w:val="24"/>
        </w:rPr>
        <w:t xml:space="preserve"> </w:t>
      </w:r>
      <w:r w:rsidR="00682CCC" w:rsidRPr="00F1446C">
        <w:rPr>
          <w:sz w:val="24"/>
          <w:szCs w:val="24"/>
        </w:rPr>
        <w:t xml:space="preserve">ligero </w:t>
      </w:r>
      <w:r w:rsidR="00D262FB" w:rsidRPr="00F1446C">
        <w:rPr>
          <w:sz w:val="24"/>
          <w:szCs w:val="24"/>
        </w:rPr>
        <w:t>incremento</w:t>
      </w:r>
      <w:r w:rsidR="00670182" w:rsidRPr="00F1446C">
        <w:rPr>
          <w:sz w:val="24"/>
          <w:szCs w:val="24"/>
        </w:rPr>
        <w:t xml:space="preserve"> </w:t>
      </w:r>
      <w:r w:rsidR="00D262FB" w:rsidRPr="00F1446C">
        <w:rPr>
          <w:sz w:val="24"/>
          <w:szCs w:val="24"/>
        </w:rPr>
        <w:t>de</w:t>
      </w:r>
      <w:r w:rsidR="00670182" w:rsidRPr="00F1446C">
        <w:rPr>
          <w:sz w:val="24"/>
          <w:szCs w:val="24"/>
        </w:rPr>
        <w:t xml:space="preserve"> </w:t>
      </w:r>
      <w:r w:rsidR="00682CCC" w:rsidRPr="00F1446C">
        <w:rPr>
          <w:sz w:val="24"/>
          <w:szCs w:val="24"/>
        </w:rPr>
        <w:t xml:space="preserve">0.3 </w:t>
      </w:r>
      <w:r w:rsidR="00D262FB" w:rsidRPr="00F1446C">
        <w:rPr>
          <w:sz w:val="24"/>
          <w:szCs w:val="24"/>
        </w:rPr>
        <w:t>en</w:t>
      </w:r>
      <w:r w:rsidR="00670182" w:rsidRPr="00F1446C">
        <w:rPr>
          <w:sz w:val="24"/>
          <w:szCs w:val="24"/>
        </w:rPr>
        <w:t xml:space="preserve"> </w:t>
      </w:r>
      <w:r w:rsidR="00D262FB" w:rsidRPr="00F1446C">
        <w:rPr>
          <w:sz w:val="24"/>
          <w:szCs w:val="24"/>
        </w:rPr>
        <w:t>el</w:t>
      </w:r>
      <w:r w:rsidR="00670182" w:rsidRPr="00F1446C">
        <w:rPr>
          <w:sz w:val="24"/>
          <w:szCs w:val="24"/>
        </w:rPr>
        <w:t xml:space="preserve"> </w:t>
      </w:r>
      <w:r w:rsidR="00D262FB" w:rsidRPr="00F1446C">
        <w:rPr>
          <w:sz w:val="24"/>
          <w:szCs w:val="24"/>
        </w:rPr>
        <w:t>indicador</w:t>
      </w:r>
      <w:r w:rsidR="00670182" w:rsidRPr="00F1446C">
        <w:rPr>
          <w:sz w:val="24"/>
          <w:szCs w:val="24"/>
        </w:rPr>
        <w:t xml:space="preserve"> </w:t>
      </w:r>
      <w:r w:rsidR="00D262FB" w:rsidRPr="00F1446C">
        <w:rPr>
          <w:sz w:val="24"/>
          <w:szCs w:val="24"/>
        </w:rPr>
        <w:t>de</w:t>
      </w:r>
      <w:r w:rsidR="00670182" w:rsidRPr="00F1446C">
        <w:rPr>
          <w:sz w:val="24"/>
          <w:szCs w:val="24"/>
        </w:rPr>
        <w:t xml:space="preserve"> </w:t>
      </w:r>
      <w:r w:rsidR="00682CCC" w:rsidRPr="00F1446C">
        <w:rPr>
          <w:b/>
          <w:bCs/>
          <w:sz w:val="24"/>
          <w:szCs w:val="24"/>
        </w:rPr>
        <w:t xml:space="preserve">PCP </w:t>
      </w:r>
      <w:r w:rsidR="00D262FB" w:rsidRPr="00F1446C">
        <w:rPr>
          <w:sz w:val="24"/>
          <w:szCs w:val="24"/>
        </w:rPr>
        <w:t>al</w:t>
      </w:r>
      <w:r w:rsidR="00670182" w:rsidRPr="00F1446C">
        <w:rPr>
          <w:sz w:val="24"/>
          <w:szCs w:val="24"/>
        </w:rPr>
        <w:t xml:space="preserve"> </w:t>
      </w:r>
      <w:r w:rsidR="00D262FB" w:rsidRPr="00F1446C">
        <w:rPr>
          <w:sz w:val="24"/>
          <w:szCs w:val="24"/>
        </w:rPr>
        <w:t>pasar</w:t>
      </w:r>
      <w:r w:rsidR="00670182" w:rsidRPr="00F1446C">
        <w:rPr>
          <w:sz w:val="24"/>
          <w:szCs w:val="24"/>
        </w:rPr>
        <w:t xml:space="preserve"> </w:t>
      </w:r>
      <w:r w:rsidR="00D262FB" w:rsidRPr="00F1446C">
        <w:rPr>
          <w:sz w:val="24"/>
          <w:szCs w:val="24"/>
        </w:rPr>
        <w:t>de</w:t>
      </w:r>
      <w:r w:rsidR="00670182" w:rsidRPr="00F1446C">
        <w:rPr>
          <w:sz w:val="24"/>
          <w:szCs w:val="24"/>
        </w:rPr>
        <w:t xml:space="preserve"> </w:t>
      </w:r>
      <w:r w:rsidR="00682CCC" w:rsidRPr="00F1446C">
        <w:rPr>
          <w:sz w:val="24"/>
          <w:szCs w:val="24"/>
        </w:rPr>
        <w:t xml:space="preserve">21.8 </w:t>
      </w:r>
      <w:r w:rsidR="00D262FB" w:rsidRPr="00F1446C">
        <w:rPr>
          <w:sz w:val="24"/>
          <w:szCs w:val="24"/>
        </w:rPr>
        <w:t>en</w:t>
      </w:r>
      <w:r w:rsidR="00670182" w:rsidRPr="00F1446C">
        <w:rPr>
          <w:sz w:val="24"/>
          <w:szCs w:val="24"/>
        </w:rPr>
        <w:t xml:space="preserve"> </w:t>
      </w:r>
      <w:r w:rsidR="00D262FB" w:rsidRPr="00F1446C">
        <w:rPr>
          <w:sz w:val="24"/>
          <w:szCs w:val="24"/>
        </w:rPr>
        <w:t>2020</w:t>
      </w:r>
      <w:r w:rsidR="00670182" w:rsidRPr="00F1446C">
        <w:rPr>
          <w:sz w:val="24"/>
          <w:szCs w:val="24"/>
        </w:rPr>
        <w:t xml:space="preserve"> </w:t>
      </w:r>
      <w:r w:rsidR="00D262FB" w:rsidRPr="00F1446C">
        <w:rPr>
          <w:sz w:val="24"/>
          <w:szCs w:val="24"/>
        </w:rPr>
        <w:t>a</w:t>
      </w:r>
      <w:r w:rsidR="00670182" w:rsidRPr="00F1446C">
        <w:rPr>
          <w:sz w:val="24"/>
          <w:szCs w:val="24"/>
        </w:rPr>
        <w:t xml:space="preserve"> </w:t>
      </w:r>
      <w:r w:rsidR="00682CCC" w:rsidRPr="00F1446C">
        <w:rPr>
          <w:sz w:val="24"/>
          <w:szCs w:val="24"/>
        </w:rPr>
        <w:t xml:space="preserve">22.1 </w:t>
      </w:r>
      <w:r w:rsidR="00D262FB" w:rsidRPr="00F1446C">
        <w:rPr>
          <w:sz w:val="24"/>
          <w:szCs w:val="24"/>
        </w:rPr>
        <w:t>en</w:t>
      </w:r>
      <w:r w:rsidR="00670182" w:rsidRPr="00F1446C">
        <w:rPr>
          <w:sz w:val="24"/>
          <w:szCs w:val="24"/>
        </w:rPr>
        <w:t xml:space="preserve"> </w:t>
      </w:r>
      <w:r w:rsidR="00D262FB" w:rsidRPr="00F1446C">
        <w:rPr>
          <w:sz w:val="24"/>
          <w:szCs w:val="24"/>
        </w:rPr>
        <w:t>2021</w:t>
      </w:r>
      <w:r w:rsidR="004B6042" w:rsidRPr="00F1446C">
        <w:rPr>
          <w:sz w:val="24"/>
          <w:szCs w:val="24"/>
        </w:rPr>
        <w:t>,</w:t>
      </w:r>
      <w:r w:rsidR="00670182" w:rsidRPr="00F1446C">
        <w:rPr>
          <w:sz w:val="24"/>
          <w:szCs w:val="24"/>
        </w:rPr>
        <w:t xml:space="preserve"> </w:t>
      </w:r>
      <w:r w:rsidR="00682CCC" w:rsidRPr="00F1446C">
        <w:rPr>
          <w:sz w:val="24"/>
          <w:szCs w:val="24"/>
        </w:rPr>
        <w:t xml:space="preserve">y </w:t>
      </w:r>
      <w:r w:rsidR="00D262FB" w:rsidRPr="00F1446C">
        <w:rPr>
          <w:sz w:val="24"/>
          <w:szCs w:val="24"/>
        </w:rPr>
        <w:t>de</w:t>
      </w:r>
      <w:r w:rsidR="00670182" w:rsidRPr="00F1446C">
        <w:rPr>
          <w:sz w:val="24"/>
          <w:szCs w:val="24"/>
        </w:rPr>
        <w:t xml:space="preserve"> </w:t>
      </w:r>
      <w:r w:rsidR="00C761C7" w:rsidRPr="00F1446C">
        <w:rPr>
          <w:sz w:val="24"/>
          <w:szCs w:val="24"/>
        </w:rPr>
        <w:t>0.</w:t>
      </w:r>
      <w:r w:rsidR="00682CCC" w:rsidRPr="00F1446C">
        <w:rPr>
          <w:sz w:val="24"/>
          <w:szCs w:val="24"/>
        </w:rPr>
        <w:t>4</w:t>
      </w:r>
      <w:r w:rsidR="00C761C7" w:rsidRPr="00F1446C">
        <w:rPr>
          <w:sz w:val="24"/>
          <w:szCs w:val="24"/>
        </w:rPr>
        <w:t xml:space="preserve"> puntos en </w:t>
      </w:r>
      <w:r w:rsidR="00682CCC" w:rsidRPr="00F1446C">
        <w:rPr>
          <w:b/>
          <w:bCs/>
          <w:sz w:val="24"/>
          <w:szCs w:val="24"/>
        </w:rPr>
        <w:t xml:space="preserve">PUB </w:t>
      </w:r>
      <w:r w:rsidR="00682CCC" w:rsidRPr="00F1446C">
        <w:rPr>
          <w:sz w:val="24"/>
          <w:szCs w:val="24"/>
        </w:rPr>
        <w:t xml:space="preserve">al pasar de 53.5 a 53.9 </w:t>
      </w:r>
      <w:r w:rsidR="001B2117" w:rsidRPr="00F1446C">
        <w:rPr>
          <w:sz w:val="24"/>
          <w:szCs w:val="24"/>
        </w:rPr>
        <w:t>en</w:t>
      </w:r>
      <w:r w:rsidR="00670182" w:rsidRPr="00F1446C">
        <w:rPr>
          <w:sz w:val="24"/>
          <w:szCs w:val="24"/>
        </w:rPr>
        <w:t xml:space="preserve"> </w:t>
      </w:r>
      <w:r w:rsidR="001B2117" w:rsidRPr="00F1446C">
        <w:rPr>
          <w:sz w:val="24"/>
          <w:szCs w:val="24"/>
        </w:rPr>
        <w:t>el</w:t>
      </w:r>
      <w:r w:rsidR="00670182" w:rsidRPr="00F1446C">
        <w:rPr>
          <w:sz w:val="24"/>
          <w:szCs w:val="24"/>
        </w:rPr>
        <w:t xml:space="preserve"> </w:t>
      </w:r>
      <w:r w:rsidR="001B2117" w:rsidRPr="00F1446C">
        <w:rPr>
          <w:sz w:val="24"/>
          <w:szCs w:val="24"/>
        </w:rPr>
        <w:t>mismo</w:t>
      </w:r>
      <w:r w:rsidR="00670182" w:rsidRPr="00F1446C">
        <w:rPr>
          <w:sz w:val="24"/>
          <w:szCs w:val="24"/>
        </w:rPr>
        <w:t xml:space="preserve"> </w:t>
      </w:r>
      <w:r w:rsidR="001B2117" w:rsidRPr="00F1446C">
        <w:rPr>
          <w:sz w:val="24"/>
          <w:szCs w:val="24"/>
        </w:rPr>
        <w:t>periodo</w:t>
      </w:r>
      <w:r w:rsidR="00670182" w:rsidRPr="00F1446C">
        <w:rPr>
          <w:sz w:val="24"/>
          <w:szCs w:val="24"/>
        </w:rPr>
        <w:t xml:space="preserve"> </w:t>
      </w:r>
      <w:r w:rsidR="001B2117" w:rsidRPr="00F1446C">
        <w:rPr>
          <w:sz w:val="24"/>
          <w:szCs w:val="24"/>
        </w:rPr>
        <w:t>de</w:t>
      </w:r>
      <w:r w:rsidR="00670182" w:rsidRPr="00F1446C">
        <w:rPr>
          <w:sz w:val="24"/>
          <w:szCs w:val="24"/>
        </w:rPr>
        <w:t xml:space="preserve"> </w:t>
      </w:r>
      <w:r w:rsidR="001B2117" w:rsidRPr="00F1446C">
        <w:rPr>
          <w:sz w:val="24"/>
          <w:szCs w:val="24"/>
        </w:rPr>
        <w:t>tiempo</w:t>
      </w:r>
      <w:r w:rsidR="004B6042" w:rsidRPr="00F1446C">
        <w:rPr>
          <w:sz w:val="24"/>
          <w:szCs w:val="24"/>
        </w:rPr>
        <w:t>.</w:t>
      </w:r>
      <w:r w:rsidR="00670182" w:rsidRPr="00F1446C">
        <w:rPr>
          <w:sz w:val="24"/>
          <w:szCs w:val="24"/>
        </w:rPr>
        <w:t xml:space="preserve"> </w:t>
      </w:r>
    </w:p>
    <w:p w14:paraId="711186A5" w14:textId="624DE315" w:rsidR="009D7768" w:rsidRPr="00F1446C" w:rsidRDefault="00682CCC" w:rsidP="00920BDC">
      <w:pPr>
        <w:pStyle w:val="ListParagraph"/>
        <w:numPr>
          <w:ilvl w:val="0"/>
          <w:numId w:val="3"/>
        </w:numPr>
        <w:spacing w:after="0" w:line="240" w:lineRule="auto"/>
        <w:jc w:val="both"/>
        <w:rPr>
          <w:sz w:val="24"/>
        </w:rPr>
      </w:pPr>
      <w:r w:rsidRPr="00F1446C">
        <w:rPr>
          <w:sz w:val="24"/>
          <w:szCs w:val="24"/>
        </w:rPr>
        <w:t>H</w:t>
      </w:r>
      <w:r w:rsidR="00AD28FC" w:rsidRPr="00F1446C">
        <w:rPr>
          <w:sz w:val="24"/>
          <w:szCs w:val="24"/>
        </w:rPr>
        <w:t>ubo</w:t>
      </w:r>
      <w:r w:rsidR="00670182" w:rsidRPr="00F1446C">
        <w:rPr>
          <w:sz w:val="24"/>
          <w:szCs w:val="24"/>
        </w:rPr>
        <w:t xml:space="preserve"> </w:t>
      </w:r>
      <w:r w:rsidR="004B6042" w:rsidRPr="00F1446C">
        <w:rPr>
          <w:sz w:val="24"/>
          <w:szCs w:val="24"/>
        </w:rPr>
        <w:t>un</w:t>
      </w:r>
      <w:r w:rsidR="00670182" w:rsidRPr="00F1446C">
        <w:rPr>
          <w:sz w:val="24"/>
          <w:szCs w:val="24"/>
        </w:rPr>
        <w:t xml:space="preserve"> </w:t>
      </w:r>
      <w:r w:rsidR="004B6042" w:rsidRPr="00F1446C">
        <w:rPr>
          <w:sz w:val="24"/>
          <w:szCs w:val="24"/>
        </w:rPr>
        <w:t>decremento</w:t>
      </w:r>
      <w:r w:rsidR="00670182" w:rsidRPr="00F1446C">
        <w:rPr>
          <w:sz w:val="24"/>
          <w:szCs w:val="24"/>
        </w:rPr>
        <w:t xml:space="preserve"> </w:t>
      </w:r>
      <w:r w:rsidR="004B6042" w:rsidRPr="00F1446C">
        <w:rPr>
          <w:sz w:val="24"/>
          <w:szCs w:val="24"/>
        </w:rPr>
        <w:t>de</w:t>
      </w:r>
      <w:r w:rsidR="00670182" w:rsidRPr="00F1446C">
        <w:rPr>
          <w:sz w:val="24"/>
          <w:szCs w:val="24"/>
        </w:rPr>
        <w:t xml:space="preserve"> </w:t>
      </w:r>
      <w:r w:rsidRPr="00F1446C">
        <w:rPr>
          <w:sz w:val="24"/>
        </w:rPr>
        <w:t xml:space="preserve">0.2 </w:t>
      </w:r>
      <w:r w:rsidR="004B6042" w:rsidRPr="00F1446C">
        <w:rPr>
          <w:sz w:val="24"/>
          <w:szCs w:val="24"/>
        </w:rPr>
        <w:t>en</w:t>
      </w:r>
      <w:r w:rsidR="00670182" w:rsidRPr="00F1446C">
        <w:rPr>
          <w:sz w:val="24"/>
          <w:szCs w:val="24"/>
        </w:rPr>
        <w:t xml:space="preserve"> </w:t>
      </w:r>
      <w:r w:rsidRPr="00F1446C">
        <w:rPr>
          <w:b/>
          <w:bCs/>
          <w:sz w:val="24"/>
          <w:szCs w:val="24"/>
        </w:rPr>
        <w:t>Alumni</w:t>
      </w:r>
      <w:r w:rsidR="004D2F63" w:rsidRPr="00F1446C">
        <w:rPr>
          <w:sz w:val="24"/>
          <w:szCs w:val="24"/>
        </w:rPr>
        <w:t xml:space="preserve">, y de </w:t>
      </w:r>
      <w:r w:rsidRPr="00F1446C">
        <w:rPr>
          <w:sz w:val="24"/>
          <w:szCs w:val="24"/>
        </w:rPr>
        <w:t xml:space="preserve">0.5 </w:t>
      </w:r>
      <w:r w:rsidR="00D262FB" w:rsidRPr="00F1446C">
        <w:rPr>
          <w:sz w:val="24"/>
          <w:szCs w:val="24"/>
        </w:rPr>
        <w:t>en</w:t>
      </w:r>
      <w:r w:rsidR="00670182" w:rsidRPr="00F1446C">
        <w:rPr>
          <w:sz w:val="24"/>
          <w:szCs w:val="24"/>
        </w:rPr>
        <w:t xml:space="preserve"> </w:t>
      </w:r>
      <w:r w:rsidRPr="00F1446C">
        <w:rPr>
          <w:b/>
          <w:bCs/>
          <w:sz w:val="24"/>
          <w:szCs w:val="24"/>
        </w:rPr>
        <w:t>N&amp;S</w:t>
      </w:r>
      <w:r w:rsidR="004B6042" w:rsidRPr="00F1446C">
        <w:rPr>
          <w:sz w:val="24"/>
        </w:rPr>
        <w:t>.</w:t>
      </w:r>
      <w:r w:rsidR="00670182" w:rsidRPr="00F1446C">
        <w:rPr>
          <w:sz w:val="24"/>
        </w:rPr>
        <w:t xml:space="preserve"> </w:t>
      </w:r>
    </w:p>
    <w:p w14:paraId="7C635632" w14:textId="52FFEA38" w:rsidR="003E7175" w:rsidRPr="00F1446C" w:rsidRDefault="003E7175" w:rsidP="00920BDC">
      <w:pPr>
        <w:pStyle w:val="ListParagraph"/>
        <w:numPr>
          <w:ilvl w:val="0"/>
          <w:numId w:val="3"/>
        </w:numPr>
        <w:spacing w:after="0" w:line="240" w:lineRule="auto"/>
        <w:jc w:val="both"/>
        <w:rPr>
          <w:sz w:val="24"/>
        </w:rPr>
      </w:pPr>
      <w:r w:rsidRPr="00F1446C">
        <w:rPr>
          <w:sz w:val="24"/>
        </w:rPr>
        <w:t xml:space="preserve">Finalmente, en los indicadores de </w:t>
      </w:r>
      <w:r w:rsidRPr="00F1446C">
        <w:rPr>
          <w:b/>
          <w:bCs/>
          <w:sz w:val="24"/>
        </w:rPr>
        <w:t>Award</w:t>
      </w:r>
      <w:r w:rsidRPr="00F1446C">
        <w:rPr>
          <w:sz w:val="24"/>
        </w:rPr>
        <w:t xml:space="preserve">, y </w:t>
      </w:r>
      <w:r w:rsidRPr="00F1446C">
        <w:rPr>
          <w:b/>
          <w:bCs/>
          <w:sz w:val="24"/>
        </w:rPr>
        <w:t>HiCi</w:t>
      </w:r>
      <w:r w:rsidRPr="00F1446C">
        <w:rPr>
          <w:sz w:val="24"/>
        </w:rPr>
        <w:t xml:space="preserve"> no se le asign</w:t>
      </w:r>
      <w:r w:rsidR="009D5A33">
        <w:rPr>
          <w:sz w:val="24"/>
        </w:rPr>
        <w:t>ó</w:t>
      </w:r>
      <w:r w:rsidRPr="00F1446C">
        <w:rPr>
          <w:sz w:val="24"/>
        </w:rPr>
        <w:t xml:space="preserve"> un puntaje</w:t>
      </w:r>
      <w:r w:rsidR="00682CCC" w:rsidRPr="00F1446C">
        <w:rPr>
          <w:sz w:val="24"/>
        </w:rPr>
        <w:t>.</w:t>
      </w:r>
    </w:p>
    <w:p w14:paraId="32244E6A" w14:textId="50734FDA" w:rsidR="00EB2F8E" w:rsidRPr="00F1446C" w:rsidRDefault="003E7175" w:rsidP="007D019B">
      <w:pPr>
        <w:pStyle w:val="ListParagraph"/>
        <w:numPr>
          <w:ilvl w:val="1"/>
          <w:numId w:val="5"/>
        </w:numPr>
        <w:spacing w:after="0" w:line="240" w:lineRule="auto"/>
        <w:jc w:val="both"/>
        <w:rPr>
          <w:sz w:val="24"/>
        </w:rPr>
      </w:pPr>
      <w:r w:rsidRPr="00F1446C">
        <w:rPr>
          <w:sz w:val="24"/>
        </w:rPr>
        <w:t xml:space="preserve">El indicador de </w:t>
      </w:r>
      <w:r w:rsidRPr="00F1446C">
        <w:rPr>
          <w:b/>
          <w:bCs/>
          <w:sz w:val="24"/>
        </w:rPr>
        <w:t>Award</w:t>
      </w:r>
      <w:r w:rsidRPr="00F1446C">
        <w:rPr>
          <w:sz w:val="24"/>
        </w:rPr>
        <w:t xml:space="preserve"> considera a los académicos ganadores del Premio Nobel en Física, Química, Medicina y/o Economía, así como a los ganadores de la Medalla Fields en matemáticas.</w:t>
      </w:r>
      <w:r w:rsidR="00EB2F8E" w:rsidRPr="00F1446C">
        <w:rPr>
          <w:sz w:val="24"/>
        </w:rPr>
        <w:t xml:space="preserve"> En la metodología del ranking se considera una ponderación diferenciada por el año</w:t>
      </w:r>
      <w:r w:rsidR="00EB2F8E" w:rsidRPr="00F1446C">
        <w:rPr>
          <w:rStyle w:val="FootnoteReference"/>
          <w:sz w:val="24"/>
        </w:rPr>
        <w:footnoteReference w:id="2"/>
      </w:r>
      <w:r w:rsidR="00EB2F8E" w:rsidRPr="00F1446C">
        <w:rPr>
          <w:sz w:val="24"/>
        </w:rPr>
        <w:t xml:space="preserve"> de obtención del Premio Nobel o la Medalla Fields</w:t>
      </w:r>
      <w:r w:rsidR="008B5993" w:rsidRPr="00F1446C">
        <w:rPr>
          <w:sz w:val="24"/>
        </w:rPr>
        <w:t>.</w:t>
      </w:r>
    </w:p>
    <w:p w14:paraId="65432489" w14:textId="7156E907" w:rsidR="0042490C" w:rsidRPr="00F1446C" w:rsidRDefault="0046411F" w:rsidP="000329C5">
      <w:pPr>
        <w:pStyle w:val="ListParagraph"/>
        <w:numPr>
          <w:ilvl w:val="1"/>
          <w:numId w:val="5"/>
        </w:numPr>
        <w:spacing w:after="0" w:line="240" w:lineRule="auto"/>
        <w:jc w:val="both"/>
        <w:rPr>
          <w:sz w:val="24"/>
        </w:rPr>
      </w:pPr>
      <w:r w:rsidRPr="00F1446C">
        <w:rPr>
          <w:sz w:val="24"/>
        </w:rPr>
        <w:t>E</w:t>
      </w:r>
      <w:r w:rsidR="003E7175" w:rsidRPr="00F1446C">
        <w:rPr>
          <w:sz w:val="24"/>
        </w:rPr>
        <w:t xml:space="preserve">l indicador </w:t>
      </w:r>
      <w:r w:rsidR="003E7175" w:rsidRPr="00F1446C">
        <w:rPr>
          <w:b/>
          <w:bCs/>
          <w:sz w:val="24"/>
        </w:rPr>
        <w:t>HiCi</w:t>
      </w:r>
      <w:r w:rsidR="00696BB7" w:rsidRPr="00F1446C">
        <w:rPr>
          <w:sz w:val="24"/>
        </w:rPr>
        <w:t xml:space="preserve"> considera </w:t>
      </w:r>
      <w:r w:rsidR="0042490C" w:rsidRPr="00F1446C">
        <w:rPr>
          <w:sz w:val="24"/>
        </w:rPr>
        <w:t xml:space="preserve">a los </w:t>
      </w:r>
      <w:r w:rsidR="00696BB7" w:rsidRPr="00F1446C">
        <w:rPr>
          <w:sz w:val="24"/>
        </w:rPr>
        <w:t xml:space="preserve">investigadores </w:t>
      </w:r>
      <w:r w:rsidR="0042490C" w:rsidRPr="00F1446C">
        <w:rPr>
          <w:sz w:val="24"/>
        </w:rPr>
        <w:t>altamente citados conforme a las estadísticas que “</w:t>
      </w:r>
      <w:r w:rsidR="0042490C" w:rsidRPr="00F1446C">
        <w:rPr>
          <w:i/>
          <w:iCs/>
          <w:sz w:val="24"/>
        </w:rPr>
        <w:t>Clarivate Analytics</w:t>
      </w:r>
      <w:r w:rsidR="0042490C" w:rsidRPr="00F1446C">
        <w:rPr>
          <w:sz w:val="24"/>
        </w:rPr>
        <w:t>” realizó con base a los datos publicados en Scopus Web of Science</w:t>
      </w:r>
      <w:r w:rsidR="00696BB7" w:rsidRPr="00F1446C">
        <w:rPr>
          <w:sz w:val="24"/>
        </w:rPr>
        <w:t>. L</w:t>
      </w:r>
      <w:r w:rsidR="0042490C" w:rsidRPr="00F1446C">
        <w:rPr>
          <w:sz w:val="24"/>
        </w:rPr>
        <w:t xml:space="preserve">a UNAM </w:t>
      </w:r>
      <w:r w:rsidR="00696BB7" w:rsidRPr="00F1446C">
        <w:rPr>
          <w:sz w:val="24"/>
        </w:rPr>
        <w:t xml:space="preserve">no cuenta con investigadores clasificados en </w:t>
      </w:r>
      <w:r w:rsidR="0042490C" w:rsidRPr="00F1446C">
        <w:rPr>
          <w:sz w:val="24"/>
        </w:rPr>
        <w:t>la lista de los investigadores altamente citados</w:t>
      </w:r>
      <w:r w:rsidR="00696BB7" w:rsidRPr="00F1446C">
        <w:rPr>
          <w:sz w:val="24"/>
        </w:rPr>
        <w:t xml:space="preserve"> (</w:t>
      </w:r>
      <w:r w:rsidR="00696BB7" w:rsidRPr="00F1446C">
        <w:rPr>
          <w:i/>
          <w:iCs/>
          <w:sz w:val="24"/>
        </w:rPr>
        <w:t>ver</w:t>
      </w:r>
      <w:r w:rsidR="00696BB7" w:rsidRPr="00F1446C">
        <w:rPr>
          <w:sz w:val="24"/>
        </w:rPr>
        <w:t xml:space="preserve"> tabla </w:t>
      </w:r>
      <w:r w:rsidR="00413B2A">
        <w:rPr>
          <w:sz w:val="24"/>
        </w:rPr>
        <w:t>5</w:t>
      </w:r>
      <w:r w:rsidR="00696BB7" w:rsidRPr="00F1446C">
        <w:rPr>
          <w:sz w:val="24"/>
        </w:rPr>
        <w:t>)</w:t>
      </w:r>
      <w:r w:rsidR="0042490C" w:rsidRPr="00F1446C">
        <w:rPr>
          <w:sz w:val="24"/>
        </w:rPr>
        <w:t>.</w:t>
      </w:r>
    </w:p>
    <w:p w14:paraId="03DFDAA9" w14:textId="54C7A149" w:rsidR="00F877F1" w:rsidRPr="00F1446C" w:rsidRDefault="00F877F1" w:rsidP="00BC5FAF">
      <w:pPr>
        <w:spacing w:after="0" w:line="240" w:lineRule="auto"/>
        <w:jc w:val="both"/>
        <w:rPr>
          <w:sz w:val="24"/>
        </w:rPr>
      </w:pPr>
    </w:p>
    <w:tbl>
      <w:tblPr>
        <w:tblW w:w="7626" w:type="dxa"/>
        <w:jc w:val="center"/>
        <w:tblLayout w:type="fixed"/>
        <w:tblCellMar>
          <w:left w:w="70" w:type="dxa"/>
          <w:right w:w="70" w:type="dxa"/>
        </w:tblCellMar>
        <w:tblLook w:val="04A0" w:firstRow="1" w:lastRow="0" w:firstColumn="1" w:lastColumn="0" w:noHBand="0" w:noVBand="1"/>
      </w:tblPr>
      <w:tblGrid>
        <w:gridCol w:w="942"/>
        <w:gridCol w:w="991"/>
        <w:gridCol w:w="943"/>
        <w:gridCol w:w="942"/>
        <w:gridCol w:w="943"/>
        <w:gridCol w:w="943"/>
        <w:gridCol w:w="943"/>
        <w:gridCol w:w="953"/>
        <w:gridCol w:w="26"/>
      </w:tblGrid>
      <w:tr w:rsidR="003E7175" w:rsidRPr="00F1446C" w14:paraId="3C34AAEC" w14:textId="77777777" w:rsidTr="003E7175">
        <w:trPr>
          <w:trHeight w:val="235"/>
          <w:tblHeader/>
          <w:jc w:val="center"/>
        </w:trPr>
        <w:tc>
          <w:tcPr>
            <w:tcW w:w="7626" w:type="dxa"/>
            <w:gridSpan w:val="9"/>
            <w:tcBorders>
              <w:bottom w:val="single" w:sz="4" w:space="0" w:color="auto"/>
            </w:tcBorders>
            <w:shd w:val="clear" w:color="auto" w:fill="auto"/>
            <w:noWrap/>
            <w:vAlign w:val="center"/>
          </w:tcPr>
          <w:bookmarkEnd w:id="2"/>
          <w:p w14:paraId="4D6BD0C3" w14:textId="4A75E00D" w:rsidR="003E7175" w:rsidRPr="00F1446C" w:rsidRDefault="003E7175" w:rsidP="006904AD">
            <w:pPr>
              <w:spacing w:after="0" w:line="240" w:lineRule="auto"/>
              <w:jc w:val="center"/>
              <w:rPr>
                <w:rFonts w:ascii="Calibri" w:eastAsia="Times New Roman" w:hAnsi="Calibri" w:cs="Times New Roman"/>
                <w:b/>
                <w:bCs/>
                <w:color w:val="000000"/>
                <w:sz w:val="20"/>
                <w:szCs w:val="20"/>
                <w:lang w:eastAsia="es-MX"/>
              </w:rPr>
            </w:pPr>
            <w:r w:rsidRPr="00F1446C">
              <w:rPr>
                <w:b/>
                <w:sz w:val="20"/>
                <w:szCs w:val="20"/>
              </w:rPr>
              <w:t xml:space="preserve">Tabla </w:t>
            </w:r>
            <w:r w:rsidR="00413B2A">
              <w:rPr>
                <w:b/>
                <w:sz w:val="20"/>
                <w:szCs w:val="20"/>
              </w:rPr>
              <w:t>4</w:t>
            </w:r>
            <w:r w:rsidRPr="00F1446C">
              <w:rPr>
                <w:b/>
                <w:sz w:val="20"/>
                <w:szCs w:val="20"/>
              </w:rPr>
              <w:t xml:space="preserve">. Comportamiento de la UNAM en los indicadores del </w:t>
            </w:r>
            <w:r w:rsidR="00AF39A8" w:rsidRPr="00F1446C">
              <w:rPr>
                <w:b/>
                <w:sz w:val="20"/>
                <w:szCs w:val="20"/>
              </w:rPr>
              <w:t xml:space="preserve">Ranking </w:t>
            </w:r>
            <w:r w:rsidRPr="00F1446C">
              <w:rPr>
                <w:b/>
                <w:sz w:val="20"/>
                <w:szCs w:val="20"/>
              </w:rPr>
              <w:t>ARWU, 2017-2021.</w:t>
            </w:r>
          </w:p>
        </w:tc>
      </w:tr>
      <w:tr w:rsidR="003E7175" w:rsidRPr="00F1446C" w14:paraId="7AD4F001" w14:textId="77777777" w:rsidTr="003E7175">
        <w:trPr>
          <w:gridAfter w:val="1"/>
          <w:wAfter w:w="26" w:type="dxa"/>
          <w:trHeight w:val="381"/>
          <w:tblHeader/>
          <w:jc w:val="center"/>
        </w:trPr>
        <w:tc>
          <w:tcPr>
            <w:tcW w:w="94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B8DF0A8" w14:textId="77777777" w:rsidR="003E7175" w:rsidRPr="00F1446C" w:rsidRDefault="003E7175" w:rsidP="006904AD">
            <w:pPr>
              <w:spacing w:after="0" w:line="240" w:lineRule="auto"/>
              <w:jc w:val="center"/>
              <w:rPr>
                <w:rFonts w:ascii="Calibri" w:eastAsia="Times New Roman" w:hAnsi="Calibri" w:cs="Times New Roman"/>
                <w:b/>
                <w:bCs/>
                <w:color w:val="000000"/>
                <w:sz w:val="20"/>
                <w:szCs w:val="20"/>
                <w:lang w:eastAsia="es-MX"/>
              </w:rPr>
            </w:pPr>
            <w:r w:rsidRPr="00F1446C">
              <w:rPr>
                <w:b/>
                <w:sz w:val="20"/>
                <w:szCs w:val="20"/>
              </w:rPr>
              <w:t>Año</w:t>
            </w:r>
          </w:p>
        </w:tc>
        <w:tc>
          <w:tcPr>
            <w:tcW w:w="99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F563D77" w14:textId="77777777" w:rsidR="003E7175" w:rsidRPr="00F1446C" w:rsidRDefault="003E7175" w:rsidP="006904AD">
            <w:pPr>
              <w:spacing w:after="0" w:line="240" w:lineRule="auto"/>
              <w:jc w:val="center"/>
              <w:rPr>
                <w:rFonts w:ascii="Calibri" w:eastAsia="Times New Roman" w:hAnsi="Calibri" w:cs="Times New Roman"/>
                <w:b/>
                <w:bCs/>
                <w:color w:val="000000"/>
                <w:sz w:val="20"/>
                <w:szCs w:val="20"/>
                <w:lang w:eastAsia="es-MX"/>
              </w:rPr>
            </w:pPr>
            <w:r w:rsidRPr="00F1446C">
              <w:rPr>
                <w:b/>
                <w:sz w:val="20"/>
                <w:szCs w:val="20"/>
              </w:rPr>
              <w:t>Posición Estimada</w:t>
            </w:r>
          </w:p>
        </w:tc>
        <w:tc>
          <w:tcPr>
            <w:tcW w:w="943"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A80CF4D" w14:textId="77777777" w:rsidR="003E7175" w:rsidRPr="00F1446C" w:rsidRDefault="003E7175" w:rsidP="006904AD">
            <w:pPr>
              <w:spacing w:after="0" w:line="240" w:lineRule="auto"/>
              <w:jc w:val="center"/>
              <w:rPr>
                <w:rFonts w:ascii="Calibri" w:eastAsia="Times New Roman" w:hAnsi="Calibri" w:cs="Times New Roman"/>
                <w:b/>
                <w:bCs/>
                <w:color w:val="000000"/>
                <w:sz w:val="20"/>
                <w:szCs w:val="20"/>
                <w:lang w:eastAsia="es-MX"/>
              </w:rPr>
            </w:pPr>
            <w:r w:rsidRPr="00F1446C">
              <w:rPr>
                <w:b/>
                <w:sz w:val="20"/>
                <w:szCs w:val="20"/>
              </w:rPr>
              <w:t>Alumni</w:t>
            </w:r>
          </w:p>
        </w:tc>
        <w:tc>
          <w:tcPr>
            <w:tcW w:w="942"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A9DAB57" w14:textId="77777777" w:rsidR="003E7175" w:rsidRPr="00F1446C" w:rsidRDefault="003E7175" w:rsidP="006904AD">
            <w:pPr>
              <w:spacing w:after="0" w:line="240" w:lineRule="auto"/>
              <w:jc w:val="center"/>
              <w:rPr>
                <w:rFonts w:ascii="Calibri" w:eastAsia="Times New Roman" w:hAnsi="Calibri" w:cs="Times New Roman"/>
                <w:b/>
                <w:bCs/>
                <w:color w:val="000000"/>
                <w:sz w:val="20"/>
                <w:szCs w:val="20"/>
                <w:lang w:eastAsia="es-MX"/>
              </w:rPr>
            </w:pPr>
            <w:r w:rsidRPr="00F1446C">
              <w:rPr>
                <w:b/>
                <w:sz w:val="20"/>
                <w:szCs w:val="20"/>
              </w:rPr>
              <w:t>Award</w:t>
            </w:r>
          </w:p>
        </w:tc>
        <w:tc>
          <w:tcPr>
            <w:tcW w:w="943"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1DC317CD" w14:textId="77777777" w:rsidR="003E7175" w:rsidRPr="00F1446C" w:rsidRDefault="003E7175" w:rsidP="006904AD">
            <w:pPr>
              <w:spacing w:after="0" w:line="240" w:lineRule="auto"/>
              <w:jc w:val="center"/>
              <w:rPr>
                <w:rFonts w:ascii="Calibri" w:eastAsia="Times New Roman" w:hAnsi="Calibri" w:cs="Times New Roman"/>
                <w:b/>
                <w:bCs/>
                <w:color w:val="000000"/>
                <w:sz w:val="20"/>
                <w:szCs w:val="20"/>
                <w:lang w:eastAsia="es-MX"/>
              </w:rPr>
            </w:pPr>
            <w:r w:rsidRPr="00F1446C">
              <w:rPr>
                <w:b/>
                <w:sz w:val="20"/>
                <w:szCs w:val="20"/>
              </w:rPr>
              <w:t>HiCi</w:t>
            </w:r>
          </w:p>
        </w:tc>
        <w:tc>
          <w:tcPr>
            <w:tcW w:w="943"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6074DC3A" w14:textId="77777777" w:rsidR="003E7175" w:rsidRPr="00F1446C" w:rsidRDefault="003E7175" w:rsidP="006904AD">
            <w:pPr>
              <w:spacing w:after="0" w:line="240" w:lineRule="auto"/>
              <w:jc w:val="center"/>
              <w:rPr>
                <w:rFonts w:ascii="Calibri" w:eastAsia="Times New Roman" w:hAnsi="Calibri" w:cs="Times New Roman"/>
                <w:b/>
                <w:bCs/>
                <w:color w:val="000000"/>
                <w:sz w:val="20"/>
                <w:szCs w:val="20"/>
                <w:lang w:eastAsia="es-MX"/>
              </w:rPr>
            </w:pPr>
            <w:r w:rsidRPr="00F1446C">
              <w:rPr>
                <w:b/>
                <w:sz w:val="20"/>
                <w:szCs w:val="20"/>
              </w:rPr>
              <w:t>N&amp;S</w:t>
            </w:r>
          </w:p>
        </w:tc>
        <w:tc>
          <w:tcPr>
            <w:tcW w:w="943"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7E318538" w14:textId="77777777" w:rsidR="003E7175" w:rsidRPr="00F1446C" w:rsidRDefault="003E7175" w:rsidP="006904AD">
            <w:pPr>
              <w:spacing w:after="0" w:line="240" w:lineRule="auto"/>
              <w:jc w:val="center"/>
              <w:rPr>
                <w:rFonts w:ascii="Calibri" w:eastAsia="Times New Roman" w:hAnsi="Calibri" w:cs="Times New Roman"/>
                <w:b/>
                <w:bCs/>
                <w:color w:val="000000"/>
                <w:sz w:val="20"/>
                <w:szCs w:val="20"/>
                <w:lang w:eastAsia="es-MX"/>
              </w:rPr>
            </w:pPr>
            <w:r w:rsidRPr="00F1446C">
              <w:rPr>
                <w:b/>
                <w:sz w:val="20"/>
                <w:szCs w:val="20"/>
              </w:rPr>
              <w:t>PUB</w:t>
            </w:r>
          </w:p>
        </w:tc>
        <w:tc>
          <w:tcPr>
            <w:tcW w:w="953"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4CD0A19D" w14:textId="77777777" w:rsidR="003E7175" w:rsidRPr="00F1446C" w:rsidRDefault="003E7175" w:rsidP="006904AD">
            <w:pPr>
              <w:spacing w:after="0" w:line="240" w:lineRule="auto"/>
              <w:jc w:val="center"/>
              <w:rPr>
                <w:rFonts w:ascii="Calibri" w:eastAsia="Times New Roman" w:hAnsi="Calibri" w:cs="Times New Roman"/>
                <w:b/>
                <w:bCs/>
                <w:color w:val="000000"/>
                <w:sz w:val="20"/>
                <w:szCs w:val="20"/>
                <w:lang w:eastAsia="es-MX"/>
              </w:rPr>
            </w:pPr>
            <w:r w:rsidRPr="00F1446C">
              <w:rPr>
                <w:b/>
                <w:sz w:val="20"/>
                <w:szCs w:val="20"/>
              </w:rPr>
              <w:t>PCP</w:t>
            </w:r>
          </w:p>
        </w:tc>
      </w:tr>
      <w:tr w:rsidR="003E7175" w:rsidRPr="00DE10AD" w14:paraId="2F130558" w14:textId="77777777" w:rsidTr="003E7175">
        <w:trPr>
          <w:gridAfter w:val="1"/>
          <w:wAfter w:w="26" w:type="dxa"/>
          <w:trHeight w:val="161"/>
          <w:jc w:val="center"/>
        </w:trPr>
        <w:tc>
          <w:tcPr>
            <w:tcW w:w="942" w:type="dxa"/>
            <w:tcBorders>
              <w:top w:val="nil"/>
              <w:left w:val="single" w:sz="4" w:space="0" w:color="auto"/>
              <w:bottom w:val="single" w:sz="4" w:space="0" w:color="auto"/>
              <w:right w:val="single" w:sz="4" w:space="0" w:color="auto"/>
            </w:tcBorders>
            <w:shd w:val="clear" w:color="auto" w:fill="auto"/>
            <w:noWrap/>
          </w:tcPr>
          <w:p w14:paraId="38180F33" w14:textId="5D4E53A3"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sz w:val="18"/>
                <w:szCs w:val="18"/>
              </w:rPr>
              <w:t>2017</w:t>
            </w:r>
          </w:p>
        </w:tc>
        <w:tc>
          <w:tcPr>
            <w:tcW w:w="991" w:type="dxa"/>
            <w:tcBorders>
              <w:top w:val="nil"/>
              <w:left w:val="nil"/>
              <w:bottom w:val="single" w:sz="4" w:space="0" w:color="auto"/>
              <w:right w:val="single" w:sz="4" w:space="0" w:color="auto"/>
            </w:tcBorders>
            <w:shd w:val="clear" w:color="auto" w:fill="auto"/>
            <w:noWrap/>
            <w:vAlign w:val="bottom"/>
          </w:tcPr>
          <w:p w14:paraId="0E0BE382" w14:textId="14110308" w:rsidR="003E7175" w:rsidRPr="00DE10AD" w:rsidRDefault="003E7175" w:rsidP="003E7175">
            <w:pPr>
              <w:spacing w:after="0" w:line="240" w:lineRule="auto"/>
              <w:jc w:val="center"/>
              <w:rPr>
                <w:rFonts w:ascii="Calibri" w:eastAsia="Times New Roman" w:hAnsi="Calibri" w:cs="Times New Roman"/>
                <w:color w:val="0000FF"/>
                <w:sz w:val="18"/>
                <w:szCs w:val="18"/>
                <w:lang w:eastAsia="es-MX"/>
              </w:rPr>
            </w:pPr>
            <w:r w:rsidRPr="00DE10AD">
              <w:rPr>
                <w:rFonts w:ascii="Calibri" w:hAnsi="Calibri" w:cs="Calibri"/>
                <w:color w:val="0000FF"/>
                <w:sz w:val="18"/>
                <w:szCs w:val="18"/>
              </w:rPr>
              <w:t>246</w:t>
            </w:r>
          </w:p>
        </w:tc>
        <w:tc>
          <w:tcPr>
            <w:tcW w:w="943" w:type="dxa"/>
            <w:tcBorders>
              <w:top w:val="nil"/>
              <w:left w:val="nil"/>
              <w:bottom w:val="single" w:sz="4" w:space="0" w:color="auto"/>
              <w:right w:val="single" w:sz="4" w:space="0" w:color="auto"/>
            </w:tcBorders>
            <w:shd w:val="clear" w:color="auto" w:fill="auto"/>
            <w:noWrap/>
            <w:vAlign w:val="bottom"/>
          </w:tcPr>
          <w:p w14:paraId="7923ACBE" w14:textId="0F1D5069"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sz w:val="18"/>
                <w:szCs w:val="18"/>
              </w:rPr>
              <w:t>12.4</w:t>
            </w:r>
          </w:p>
        </w:tc>
        <w:tc>
          <w:tcPr>
            <w:tcW w:w="942" w:type="dxa"/>
            <w:tcBorders>
              <w:top w:val="nil"/>
              <w:left w:val="nil"/>
              <w:bottom w:val="single" w:sz="4" w:space="0" w:color="auto"/>
              <w:right w:val="single" w:sz="4" w:space="0" w:color="auto"/>
            </w:tcBorders>
            <w:shd w:val="clear" w:color="auto" w:fill="auto"/>
            <w:noWrap/>
            <w:vAlign w:val="bottom"/>
          </w:tcPr>
          <w:p w14:paraId="68A6EFE7" w14:textId="61F226CF"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sz w:val="18"/>
                <w:szCs w:val="18"/>
              </w:rPr>
              <w:t>0</w:t>
            </w:r>
          </w:p>
        </w:tc>
        <w:tc>
          <w:tcPr>
            <w:tcW w:w="943" w:type="dxa"/>
            <w:tcBorders>
              <w:top w:val="nil"/>
              <w:left w:val="nil"/>
              <w:bottom w:val="single" w:sz="4" w:space="0" w:color="auto"/>
              <w:right w:val="single" w:sz="4" w:space="0" w:color="auto"/>
            </w:tcBorders>
            <w:shd w:val="clear" w:color="auto" w:fill="auto"/>
            <w:noWrap/>
            <w:vAlign w:val="bottom"/>
          </w:tcPr>
          <w:p w14:paraId="674E6CEC" w14:textId="04A2262C"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sz w:val="18"/>
                <w:szCs w:val="18"/>
              </w:rPr>
              <w:t>0</w:t>
            </w:r>
          </w:p>
        </w:tc>
        <w:tc>
          <w:tcPr>
            <w:tcW w:w="943" w:type="dxa"/>
            <w:tcBorders>
              <w:top w:val="nil"/>
              <w:left w:val="nil"/>
              <w:bottom w:val="single" w:sz="4" w:space="0" w:color="auto"/>
              <w:right w:val="single" w:sz="4" w:space="0" w:color="auto"/>
            </w:tcBorders>
            <w:shd w:val="clear" w:color="auto" w:fill="auto"/>
            <w:noWrap/>
            <w:vAlign w:val="bottom"/>
          </w:tcPr>
          <w:p w14:paraId="46B58B2D" w14:textId="7F0B7348"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sz w:val="18"/>
                <w:szCs w:val="18"/>
              </w:rPr>
              <w:t>10.4</w:t>
            </w:r>
          </w:p>
        </w:tc>
        <w:tc>
          <w:tcPr>
            <w:tcW w:w="943" w:type="dxa"/>
            <w:tcBorders>
              <w:top w:val="nil"/>
              <w:left w:val="nil"/>
              <w:bottom w:val="single" w:sz="4" w:space="0" w:color="auto"/>
              <w:right w:val="single" w:sz="4" w:space="0" w:color="auto"/>
            </w:tcBorders>
            <w:shd w:val="clear" w:color="auto" w:fill="auto"/>
            <w:noWrap/>
            <w:vAlign w:val="bottom"/>
          </w:tcPr>
          <w:p w14:paraId="3DA91756" w14:textId="79DEDC57"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sz w:val="18"/>
                <w:szCs w:val="18"/>
              </w:rPr>
              <w:t>50.6</w:t>
            </w:r>
          </w:p>
        </w:tc>
        <w:tc>
          <w:tcPr>
            <w:tcW w:w="953" w:type="dxa"/>
            <w:tcBorders>
              <w:top w:val="nil"/>
              <w:left w:val="nil"/>
              <w:bottom w:val="single" w:sz="4" w:space="0" w:color="auto"/>
              <w:right w:val="single" w:sz="4" w:space="0" w:color="auto"/>
            </w:tcBorders>
            <w:shd w:val="clear" w:color="auto" w:fill="auto"/>
            <w:noWrap/>
            <w:vAlign w:val="bottom"/>
          </w:tcPr>
          <w:p w14:paraId="1AF11DDA" w14:textId="2CF65C9A"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sz w:val="18"/>
                <w:szCs w:val="18"/>
              </w:rPr>
              <w:t>26</w:t>
            </w:r>
          </w:p>
        </w:tc>
      </w:tr>
      <w:tr w:rsidR="003E7175" w:rsidRPr="00DE10AD" w14:paraId="4B9529AF" w14:textId="77777777" w:rsidTr="003E7175">
        <w:trPr>
          <w:gridAfter w:val="1"/>
          <w:wAfter w:w="26" w:type="dxa"/>
          <w:trHeight w:val="161"/>
          <w:jc w:val="center"/>
        </w:trPr>
        <w:tc>
          <w:tcPr>
            <w:tcW w:w="942" w:type="dxa"/>
            <w:tcBorders>
              <w:top w:val="nil"/>
              <w:left w:val="single" w:sz="4" w:space="0" w:color="auto"/>
              <w:bottom w:val="single" w:sz="4" w:space="0" w:color="auto"/>
              <w:right w:val="single" w:sz="4" w:space="0" w:color="auto"/>
            </w:tcBorders>
            <w:shd w:val="clear" w:color="auto" w:fill="E7E6E6" w:themeFill="background2"/>
            <w:noWrap/>
          </w:tcPr>
          <w:p w14:paraId="07C0CFF2" w14:textId="1006C77C"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sz w:val="18"/>
                <w:szCs w:val="18"/>
              </w:rPr>
              <w:t>2018</w:t>
            </w:r>
          </w:p>
        </w:tc>
        <w:tc>
          <w:tcPr>
            <w:tcW w:w="991" w:type="dxa"/>
            <w:tcBorders>
              <w:top w:val="nil"/>
              <w:left w:val="nil"/>
              <w:bottom w:val="single" w:sz="4" w:space="0" w:color="auto"/>
              <w:right w:val="single" w:sz="4" w:space="0" w:color="auto"/>
            </w:tcBorders>
            <w:shd w:val="clear" w:color="auto" w:fill="E7E6E6" w:themeFill="background2"/>
            <w:noWrap/>
            <w:vAlign w:val="center"/>
          </w:tcPr>
          <w:p w14:paraId="0AF63BA0" w14:textId="1FF9C31B" w:rsidR="003E7175" w:rsidRPr="00DE10AD" w:rsidRDefault="003E7175" w:rsidP="003E7175">
            <w:pPr>
              <w:spacing w:after="0" w:line="240" w:lineRule="auto"/>
              <w:jc w:val="center"/>
              <w:rPr>
                <w:rFonts w:ascii="Calibri" w:eastAsia="Times New Roman" w:hAnsi="Calibri" w:cs="Times New Roman"/>
                <w:color w:val="0000FF"/>
                <w:sz w:val="18"/>
                <w:szCs w:val="18"/>
                <w:lang w:eastAsia="es-MX"/>
              </w:rPr>
            </w:pPr>
            <w:r w:rsidRPr="00DE10AD">
              <w:rPr>
                <w:rFonts w:ascii="Calibri" w:hAnsi="Calibri" w:cs="Calibri"/>
                <w:color w:val="0000FF"/>
                <w:sz w:val="18"/>
                <w:szCs w:val="18"/>
              </w:rPr>
              <w:t>235</w:t>
            </w:r>
          </w:p>
        </w:tc>
        <w:tc>
          <w:tcPr>
            <w:tcW w:w="943" w:type="dxa"/>
            <w:tcBorders>
              <w:top w:val="nil"/>
              <w:left w:val="nil"/>
              <w:bottom w:val="single" w:sz="4" w:space="0" w:color="auto"/>
              <w:right w:val="single" w:sz="4" w:space="0" w:color="auto"/>
            </w:tcBorders>
            <w:shd w:val="clear" w:color="auto" w:fill="E7E6E6" w:themeFill="background2"/>
            <w:noWrap/>
            <w:vAlign w:val="center"/>
          </w:tcPr>
          <w:p w14:paraId="235A3242" w14:textId="6E6C5F95"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12.4</w:t>
            </w:r>
          </w:p>
        </w:tc>
        <w:tc>
          <w:tcPr>
            <w:tcW w:w="942" w:type="dxa"/>
            <w:tcBorders>
              <w:top w:val="nil"/>
              <w:left w:val="nil"/>
              <w:bottom w:val="single" w:sz="4" w:space="0" w:color="auto"/>
              <w:right w:val="single" w:sz="4" w:space="0" w:color="auto"/>
            </w:tcBorders>
            <w:shd w:val="clear" w:color="auto" w:fill="E7E6E6" w:themeFill="background2"/>
            <w:noWrap/>
            <w:vAlign w:val="center"/>
          </w:tcPr>
          <w:p w14:paraId="5646CC3E" w14:textId="4919E6CC"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0</w:t>
            </w:r>
          </w:p>
        </w:tc>
        <w:tc>
          <w:tcPr>
            <w:tcW w:w="943" w:type="dxa"/>
            <w:tcBorders>
              <w:top w:val="nil"/>
              <w:left w:val="nil"/>
              <w:bottom w:val="single" w:sz="4" w:space="0" w:color="auto"/>
              <w:right w:val="single" w:sz="4" w:space="0" w:color="auto"/>
            </w:tcBorders>
            <w:shd w:val="clear" w:color="auto" w:fill="E7E6E6" w:themeFill="background2"/>
            <w:noWrap/>
            <w:vAlign w:val="center"/>
          </w:tcPr>
          <w:p w14:paraId="75163E30" w14:textId="0CFC2E6C"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0</w:t>
            </w:r>
          </w:p>
        </w:tc>
        <w:tc>
          <w:tcPr>
            <w:tcW w:w="943" w:type="dxa"/>
            <w:tcBorders>
              <w:top w:val="nil"/>
              <w:left w:val="nil"/>
              <w:bottom w:val="single" w:sz="4" w:space="0" w:color="auto"/>
              <w:right w:val="single" w:sz="4" w:space="0" w:color="auto"/>
            </w:tcBorders>
            <w:shd w:val="clear" w:color="auto" w:fill="E7E6E6" w:themeFill="background2"/>
            <w:noWrap/>
            <w:vAlign w:val="center"/>
          </w:tcPr>
          <w:p w14:paraId="715CA534" w14:textId="71EBB27A"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11.4</w:t>
            </w:r>
          </w:p>
        </w:tc>
        <w:tc>
          <w:tcPr>
            <w:tcW w:w="943" w:type="dxa"/>
            <w:tcBorders>
              <w:top w:val="nil"/>
              <w:left w:val="nil"/>
              <w:bottom w:val="single" w:sz="4" w:space="0" w:color="auto"/>
              <w:right w:val="single" w:sz="4" w:space="0" w:color="auto"/>
            </w:tcBorders>
            <w:shd w:val="clear" w:color="auto" w:fill="E7E6E6" w:themeFill="background2"/>
            <w:noWrap/>
            <w:vAlign w:val="center"/>
          </w:tcPr>
          <w:p w14:paraId="0A3AC025" w14:textId="59B5B24F"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52.4</w:t>
            </w:r>
          </w:p>
        </w:tc>
        <w:tc>
          <w:tcPr>
            <w:tcW w:w="953" w:type="dxa"/>
            <w:tcBorders>
              <w:top w:val="nil"/>
              <w:left w:val="nil"/>
              <w:bottom w:val="single" w:sz="4" w:space="0" w:color="auto"/>
              <w:right w:val="single" w:sz="4" w:space="0" w:color="auto"/>
            </w:tcBorders>
            <w:shd w:val="clear" w:color="auto" w:fill="E7E6E6" w:themeFill="background2"/>
            <w:noWrap/>
            <w:vAlign w:val="center"/>
          </w:tcPr>
          <w:p w14:paraId="0AE9EF7C" w14:textId="011DDCDC"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26.6</w:t>
            </w:r>
          </w:p>
        </w:tc>
      </w:tr>
      <w:tr w:rsidR="003E7175" w:rsidRPr="00DE10AD" w14:paraId="44189B29" w14:textId="77777777" w:rsidTr="003E7175">
        <w:trPr>
          <w:gridAfter w:val="1"/>
          <w:wAfter w:w="26" w:type="dxa"/>
          <w:trHeight w:val="161"/>
          <w:jc w:val="center"/>
        </w:trPr>
        <w:tc>
          <w:tcPr>
            <w:tcW w:w="942" w:type="dxa"/>
            <w:tcBorders>
              <w:top w:val="nil"/>
              <w:left w:val="single" w:sz="4" w:space="0" w:color="auto"/>
              <w:bottom w:val="single" w:sz="4" w:space="0" w:color="auto"/>
              <w:right w:val="single" w:sz="4" w:space="0" w:color="auto"/>
            </w:tcBorders>
            <w:shd w:val="clear" w:color="auto" w:fill="auto"/>
            <w:noWrap/>
          </w:tcPr>
          <w:p w14:paraId="346CFCE9" w14:textId="729C7458" w:rsidR="003E7175" w:rsidRPr="00DE10AD" w:rsidRDefault="003E7175" w:rsidP="003E7175">
            <w:pPr>
              <w:spacing w:after="0" w:line="240" w:lineRule="auto"/>
              <w:jc w:val="center"/>
              <w:rPr>
                <w:rFonts w:ascii="Calibri" w:hAnsi="Calibri" w:cs="Calibri"/>
                <w:color w:val="000000"/>
                <w:sz w:val="18"/>
                <w:szCs w:val="18"/>
              </w:rPr>
            </w:pPr>
            <w:r w:rsidRPr="00DE10AD">
              <w:rPr>
                <w:sz w:val="18"/>
                <w:szCs w:val="18"/>
              </w:rPr>
              <w:t>2019</w:t>
            </w:r>
          </w:p>
        </w:tc>
        <w:tc>
          <w:tcPr>
            <w:tcW w:w="991" w:type="dxa"/>
            <w:tcBorders>
              <w:top w:val="nil"/>
              <w:left w:val="nil"/>
              <w:bottom w:val="single" w:sz="4" w:space="0" w:color="auto"/>
              <w:right w:val="single" w:sz="4" w:space="0" w:color="auto"/>
            </w:tcBorders>
            <w:shd w:val="clear" w:color="auto" w:fill="auto"/>
            <w:noWrap/>
            <w:vAlign w:val="bottom"/>
          </w:tcPr>
          <w:p w14:paraId="542F446B" w14:textId="4F919125" w:rsidR="003E7175" w:rsidRPr="00DE10AD" w:rsidRDefault="003E7175" w:rsidP="003E7175">
            <w:pPr>
              <w:spacing w:after="0" w:line="240" w:lineRule="auto"/>
              <w:jc w:val="center"/>
              <w:rPr>
                <w:rFonts w:ascii="Calibri" w:hAnsi="Calibri" w:cs="Calibri"/>
                <w:color w:val="0000FF"/>
                <w:sz w:val="18"/>
                <w:szCs w:val="18"/>
              </w:rPr>
            </w:pPr>
            <w:r w:rsidRPr="00DE10AD">
              <w:rPr>
                <w:rFonts w:ascii="Calibri" w:hAnsi="Calibri" w:cs="Calibri"/>
                <w:color w:val="0000FF"/>
                <w:sz w:val="18"/>
                <w:szCs w:val="18"/>
              </w:rPr>
              <w:t>231</w:t>
            </w:r>
          </w:p>
        </w:tc>
        <w:tc>
          <w:tcPr>
            <w:tcW w:w="943" w:type="dxa"/>
            <w:tcBorders>
              <w:top w:val="nil"/>
              <w:left w:val="nil"/>
              <w:bottom w:val="single" w:sz="4" w:space="0" w:color="auto"/>
              <w:right w:val="single" w:sz="4" w:space="0" w:color="auto"/>
            </w:tcBorders>
            <w:shd w:val="clear" w:color="auto" w:fill="auto"/>
            <w:noWrap/>
            <w:vAlign w:val="bottom"/>
          </w:tcPr>
          <w:p w14:paraId="3460AB8B" w14:textId="4C7821B0"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12.5</w:t>
            </w:r>
          </w:p>
        </w:tc>
        <w:tc>
          <w:tcPr>
            <w:tcW w:w="942" w:type="dxa"/>
            <w:tcBorders>
              <w:top w:val="nil"/>
              <w:left w:val="nil"/>
              <w:bottom w:val="single" w:sz="4" w:space="0" w:color="auto"/>
              <w:right w:val="single" w:sz="4" w:space="0" w:color="auto"/>
            </w:tcBorders>
            <w:shd w:val="clear" w:color="auto" w:fill="auto"/>
            <w:noWrap/>
            <w:vAlign w:val="bottom"/>
          </w:tcPr>
          <w:p w14:paraId="7BA1B1D5" w14:textId="27B9DD7F"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bottom"/>
          </w:tcPr>
          <w:p w14:paraId="05303D61" w14:textId="7B841EAA"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bottom"/>
          </w:tcPr>
          <w:p w14:paraId="26AF759A" w14:textId="138D82EE"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12.2</w:t>
            </w:r>
          </w:p>
        </w:tc>
        <w:tc>
          <w:tcPr>
            <w:tcW w:w="943" w:type="dxa"/>
            <w:tcBorders>
              <w:top w:val="nil"/>
              <w:left w:val="nil"/>
              <w:bottom w:val="single" w:sz="4" w:space="0" w:color="auto"/>
              <w:right w:val="single" w:sz="4" w:space="0" w:color="auto"/>
            </w:tcBorders>
            <w:shd w:val="clear" w:color="auto" w:fill="auto"/>
            <w:noWrap/>
            <w:vAlign w:val="bottom"/>
          </w:tcPr>
          <w:p w14:paraId="343F53BC" w14:textId="7B6BFAEF"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53.5</w:t>
            </w:r>
          </w:p>
        </w:tc>
        <w:tc>
          <w:tcPr>
            <w:tcW w:w="953" w:type="dxa"/>
            <w:tcBorders>
              <w:top w:val="nil"/>
              <w:left w:val="nil"/>
              <w:bottom w:val="single" w:sz="4" w:space="0" w:color="auto"/>
              <w:right w:val="single" w:sz="4" w:space="0" w:color="auto"/>
            </w:tcBorders>
            <w:shd w:val="clear" w:color="auto" w:fill="auto"/>
            <w:noWrap/>
            <w:vAlign w:val="bottom"/>
          </w:tcPr>
          <w:p w14:paraId="7C7C3560" w14:textId="5DB9516D"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26.9</w:t>
            </w:r>
          </w:p>
        </w:tc>
      </w:tr>
      <w:tr w:rsidR="003E7175" w:rsidRPr="00DE10AD" w14:paraId="6DB81674" w14:textId="77777777" w:rsidTr="003E7175">
        <w:trPr>
          <w:gridAfter w:val="1"/>
          <w:wAfter w:w="26" w:type="dxa"/>
          <w:trHeight w:val="56"/>
          <w:jc w:val="center"/>
        </w:trPr>
        <w:tc>
          <w:tcPr>
            <w:tcW w:w="942" w:type="dxa"/>
            <w:tcBorders>
              <w:top w:val="nil"/>
              <w:left w:val="single" w:sz="4" w:space="0" w:color="auto"/>
              <w:bottom w:val="single" w:sz="4" w:space="0" w:color="auto"/>
              <w:right w:val="single" w:sz="4" w:space="0" w:color="auto"/>
            </w:tcBorders>
            <w:shd w:val="clear" w:color="auto" w:fill="E7E6E6" w:themeFill="background2"/>
            <w:noWrap/>
          </w:tcPr>
          <w:p w14:paraId="7F055453" w14:textId="409CC059"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sz w:val="18"/>
                <w:szCs w:val="18"/>
              </w:rPr>
              <w:t>2020</w:t>
            </w:r>
          </w:p>
        </w:tc>
        <w:tc>
          <w:tcPr>
            <w:tcW w:w="991" w:type="dxa"/>
            <w:tcBorders>
              <w:top w:val="nil"/>
              <w:left w:val="nil"/>
              <w:bottom w:val="single" w:sz="4" w:space="0" w:color="auto"/>
              <w:right w:val="single" w:sz="4" w:space="0" w:color="auto"/>
            </w:tcBorders>
            <w:shd w:val="clear" w:color="auto" w:fill="E7E6E6" w:themeFill="background2"/>
            <w:noWrap/>
            <w:vAlign w:val="bottom"/>
          </w:tcPr>
          <w:p w14:paraId="0A80EB97" w14:textId="23D09A64" w:rsidR="003E7175" w:rsidRPr="00DE10AD" w:rsidRDefault="003E7175" w:rsidP="003E7175">
            <w:pPr>
              <w:spacing w:after="0" w:line="240" w:lineRule="auto"/>
              <w:jc w:val="center"/>
              <w:rPr>
                <w:rFonts w:ascii="Calibri" w:eastAsia="Times New Roman" w:hAnsi="Calibri" w:cs="Times New Roman"/>
                <w:color w:val="0000FF"/>
                <w:sz w:val="18"/>
                <w:szCs w:val="18"/>
                <w:lang w:eastAsia="es-MX"/>
              </w:rPr>
            </w:pPr>
            <w:r w:rsidRPr="00DE10AD">
              <w:rPr>
                <w:rFonts w:ascii="Calibri" w:hAnsi="Calibri" w:cs="Calibri"/>
                <w:color w:val="0000FF"/>
                <w:sz w:val="18"/>
                <w:szCs w:val="18"/>
              </w:rPr>
              <w:t>247</w:t>
            </w:r>
          </w:p>
        </w:tc>
        <w:tc>
          <w:tcPr>
            <w:tcW w:w="943" w:type="dxa"/>
            <w:tcBorders>
              <w:top w:val="nil"/>
              <w:left w:val="nil"/>
              <w:bottom w:val="single" w:sz="4" w:space="0" w:color="auto"/>
              <w:right w:val="single" w:sz="4" w:space="0" w:color="auto"/>
            </w:tcBorders>
            <w:shd w:val="clear" w:color="auto" w:fill="E7E6E6" w:themeFill="background2"/>
            <w:noWrap/>
            <w:vAlign w:val="bottom"/>
          </w:tcPr>
          <w:p w14:paraId="0EDAC804" w14:textId="195B4EBB"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12.1</w:t>
            </w:r>
          </w:p>
        </w:tc>
        <w:tc>
          <w:tcPr>
            <w:tcW w:w="942" w:type="dxa"/>
            <w:tcBorders>
              <w:top w:val="nil"/>
              <w:left w:val="nil"/>
              <w:bottom w:val="single" w:sz="4" w:space="0" w:color="auto"/>
              <w:right w:val="single" w:sz="4" w:space="0" w:color="auto"/>
            </w:tcBorders>
            <w:shd w:val="clear" w:color="auto" w:fill="E7E6E6" w:themeFill="background2"/>
            <w:noWrap/>
            <w:vAlign w:val="bottom"/>
          </w:tcPr>
          <w:p w14:paraId="7A37F1DB" w14:textId="0A10E4E3"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0</w:t>
            </w:r>
          </w:p>
        </w:tc>
        <w:tc>
          <w:tcPr>
            <w:tcW w:w="943" w:type="dxa"/>
            <w:tcBorders>
              <w:top w:val="nil"/>
              <w:left w:val="nil"/>
              <w:bottom w:val="single" w:sz="4" w:space="0" w:color="auto"/>
              <w:right w:val="single" w:sz="4" w:space="0" w:color="auto"/>
            </w:tcBorders>
            <w:shd w:val="clear" w:color="auto" w:fill="E7E6E6" w:themeFill="background2"/>
            <w:noWrap/>
            <w:vAlign w:val="bottom"/>
          </w:tcPr>
          <w:p w14:paraId="4F46456F" w14:textId="64AE3C72"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0</w:t>
            </w:r>
          </w:p>
        </w:tc>
        <w:tc>
          <w:tcPr>
            <w:tcW w:w="943" w:type="dxa"/>
            <w:tcBorders>
              <w:top w:val="nil"/>
              <w:left w:val="nil"/>
              <w:bottom w:val="single" w:sz="4" w:space="0" w:color="auto"/>
              <w:right w:val="single" w:sz="4" w:space="0" w:color="auto"/>
            </w:tcBorders>
            <w:shd w:val="clear" w:color="auto" w:fill="E7E6E6" w:themeFill="background2"/>
            <w:noWrap/>
            <w:vAlign w:val="bottom"/>
          </w:tcPr>
          <w:p w14:paraId="55E29C4C" w14:textId="5E29C900"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11.9</w:t>
            </w:r>
          </w:p>
        </w:tc>
        <w:tc>
          <w:tcPr>
            <w:tcW w:w="943" w:type="dxa"/>
            <w:tcBorders>
              <w:top w:val="nil"/>
              <w:left w:val="nil"/>
              <w:bottom w:val="single" w:sz="4" w:space="0" w:color="auto"/>
              <w:right w:val="single" w:sz="4" w:space="0" w:color="auto"/>
            </w:tcBorders>
            <w:shd w:val="clear" w:color="auto" w:fill="E7E6E6" w:themeFill="background2"/>
            <w:noWrap/>
            <w:vAlign w:val="bottom"/>
          </w:tcPr>
          <w:p w14:paraId="7192FBCE" w14:textId="1A74BF69"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53.5</w:t>
            </w:r>
          </w:p>
        </w:tc>
        <w:tc>
          <w:tcPr>
            <w:tcW w:w="953" w:type="dxa"/>
            <w:tcBorders>
              <w:top w:val="nil"/>
              <w:left w:val="nil"/>
              <w:bottom w:val="single" w:sz="4" w:space="0" w:color="auto"/>
              <w:right w:val="single" w:sz="4" w:space="0" w:color="auto"/>
            </w:tcBorders>
            <w:shd w:val="clear" w:color="auto" w:fill="E7E6E6" w:themeFill="background2"/>
            <w:noWrap/>
            <w:vAlign w:val="bottom"/>
          </w:tcPr>
          <w:p w14:paraId="2ED2F2C4" w14:textId="294BB9A3" w:rsidR="003E7175" w:rsidRPr="00DE10AD" w:rsidRDefault="003E7175" w:rsidP="003E7175">
            <w:pPr>
              <w:spacing w:after="0" w:line="240" w:lineRule="auto"/>
              <w:jc w:val="center"/>
              <w:rPr>
                <w:rFonts w:ascii="Calibri" w:eastAsia="Times New Roman" w:hAnsi="Calibri" w:cs="Times New Roman"/>
                <w:color w:val="000000"/>
                <w:sz w:val="18"/>
                <w:szCs w:val="18"/>
                <w:lang w:eastAsia="es-MX"/>
              </w:rPr>
            </w:pPr>
            <w:r w:rsidRPr="00DE10AD">
              <w:rPr>
                <w:rFonts w:ascii="Calibri" w:hAnsi="Calibri" w:cs="Calibri"/>
                <w:color w:val="000000"/>
                <w:sz w:val="18"/>
                <w:szCs w:val="18"/>
              </w:rPr>
              <w:t>21.8</w:t>
            </w:r>
          </w:p>
        </w:tc>
      </w:tr>
      <w:tr w:rsidR="003E7175" w:rsidRPr="00DE10AD" w14:paraId="713CA8D6" w14:textId="77777777" w:rsidTr="003E7175">
        <w:trPr>
          <w:gridAfter w:val="1"/>
          <w:wAfter w:w="26" w:type="dxa"/>
          <w:trHeight w:val="161"/>
          <w:jc w:val="center"/>
        </w:trPr>
        <w:tc>
          <w:tcPr>
            <w:tcW w:w="942" w:type="dxa"/>
            <w:tcBorders>
              <w:top w:val="nil"/>
              <w:left w:val="single" w:sz="4" w:space="0" w:color="auto"/>
              <w:bottom w:val="single" w:sz="4" w:space="0" w:color="auto"/>
              <w:right w:val="single" w:sz="4" w:space="0" w:color="auto"/>
            </w:tcBorders>
            <w:shd w:val="clear" w:color="auto" w:fill="auto"/>
            <w:noWrap/>
            <w:vAlign w:val="bottom"/>
          </w:tcPr>
          <w:p w14:paraId="4A424465" w14:textId="54A3DC17" w:rsidR="003E7175" w:rsidRPr="00DE10AD" w:rsidRDefault="003E7175" w:rsidP="003E7175">
            <w:pPr>
              <w:spacing w:after="0" w:line="240" w:lineRule="auto"/>
              <w:jc w:val="center"/>
              <w:rPr>
                <w:rFonts w:ascii="Calibri" w:hAnsi="Calibri" w:cs="Calibri"/>
                <w:color w:val="000000"/>
                <w:sz w:val="18"/>
                <w:szCs w:val="18"/>
              </w:rPr>
            </w:pPr>
            <w:r w:rsidRPr="00DE10AD">
              <w:rPr>
                <w:rFonts w:ascii="Calibri" w:hAnsi="Calibri" w:cs="Calibri"/>
                <w:color w:val="000000"/>
                <w:sz w:val="18"/>
                <w:szCs w:val="18"/>
              </w:rPr>
              <w:t>2021</w:t>
            </w:r>
          </w:p>
        </w:tc>
        <w:tc>
          <w:tcPr>
            <w:tcW w:w="991" w:type="dxa"/>
            <w:tcBorders>
              <w:top w:val="nil"/>
              <w:left w:val="nil"/>
              <w:bottom w:val="single" w:sz="4" w:space="0" w:color="auto"/>
              <w:right w:val="single" w:sz="4" w:space="0" w:color="auto"/>
            </w:tcBorders>
            <w:shd w:val="clear" w:color="auto" w:fill="auto"/>
            <w:noWrap/>
            <w:vAlign w:val="bottom"/>
          </w:tcPr>
          <w:p w14:paraId="6B46B207" w14:textId="5727E50E" w:rsidR="003E7175" w:rsidRPr="00DE10AD" w:rsidRDefault="003E7175" w:rsidP="003E7175">
            <w:pPr>
              <w:spacing w:after="0" w:line="240" w:lineRule="auto"/>
              <w:jc w:val="center"/>
              <w:rPr>
                <w:rFonts w:ascii="Calibri" w:hAnsi="Calibri" w:cs="Calibri"/>
                <w:color w:val="0000FF"/>
                <w:sz w:val="18"/>
                <w:szCs w:val="18"/>
              </w:rPr>
            </w:pPr>
            <w:r w:rsidRPr="00DE10AD">
              <w:rPr>
                <w:rFonts w:ascii="Calibri" w:hAnsi="Calibri" w:cs="Calibri"/>
                <w:color w:val="0000FF"/>
                <w:sz w:val="18"/>
                <w:szCs w:val="18"/>
              </w:rPr>
              <w:t>253</w:t>
            </w:r>
          </w:p>
        </w:tc>
        <w:tc>
          <w:tcPr>
            <w:tcW w:w="943" w:type="dxa"/>
            <w:tcBorders>
              <w:top w:val="nil"/>
              <w:left w:val="nil"/>
              <w:bottom w:val="single" w:sz="4" w:space="0" w:color="auto"/>
              <w:right w:val="single" w:sz="4" w:space="0" w:color="auto"/>
            </w:tcBorders>
            <w:shd w:val="clear" w:color="auto" w:fill="auto"/>
            <w:noWrap/>
            <w:vAlign w:val="bottom"/>
          </w:tcPr>
          <w:p w14:paraId="1228A07F" w14:textId="677D6F48"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11.9</w:t>
            </w:r>
          </w:p>
        </w:tc>
        <w:tc>
          <w:tcPr>
            <w:tcW w:w="942" w:type="dxa"/>
            <w:tcBorders>
              <w:top w:val="nil"/>
              <w:left w:val="nil"/>
              <w:bottom w:val="single" w:sz="4" w:space="0" w:color="auto"/>
              <w:right w:val="single" w:sz="4" w:space="0" w:color="auto"/>
            </w:tcBorders>
            <w:shd w:val="clear" w:color="auto" w:fill="auto"/>
            <w:noWrap/>
            <w:vAlign w:val="bottom"/>
          </w:tcPr>
          <w:p w14:paraId="3BA1D59E" w14:textId="25448576"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bottom"/>
          </w:tcPr>
          <w:p w14:paraId="4A8CF20E" w14:textId="0FB7DA16"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bottom"/>
          </w:tcPr>
          <w:p w14:paraId="1C2ECCE5" w14:textId="0AE64552"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11.4</w:t>
            </w:r>
          </w:p>
        </w:tc>
        <w:tc>
          <w:tcPr>
            <w:tcW w:w="943" w:type="dxa"/>
            <w:tcBorders>
              <w:top w:val="nil"/>
              <w:left w:val="nil"/>
              <w:bottom w:val="single" w:sz="4" w:space="0" w:color="auto"/>
              <w:right w:val="single" w:sz="4" w:space="0" w:color="auto"/>
            </w:tcBorders>
            <w:shd w:val="clear" w:color="auto" w:fill="auto"/>
            <w:noWrap/>
            <w:vAlign w:val="bottom"/>
          </w:tcPr>
          <w:p w14:paraId="4A771D72" w14:textId="3114B3CB"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53.9</w:t>
            </w:r>
          </w:p>
        </w:tc>
        <w:tc>
          <w:tcPr>
            <w:tcW w:w="953" w:type="dxa"/>
            <w:tcBorders>
              <w:top w:val="nil"/>
              <w:left w:val="nil"/>
              <w:bottom w:val="single" w:sz="4" w:space="0" w:color="auto"/>
              <w:right w:val="single" w:sz="4" w:space="0" w:color="auto"/>
            </w:tcBorders>
            <w:shd w:val="clear" w:color="auto" w:fill="auto"/>
            <w:noWrap/>
            <w:vAlign w:val="bottom"/>
          </w:tcPr>
          <w:p w14:paraId="56B1775A" w14:textId="432237F1" w:rsidR="003E7175" w:rsidRPr="00DE10AD" w:rsidRDefault="003E7175" w:rsidP="003E7175">
            <w:pPr>
              <w:spacing w:after="0" w:line="240" w:lineRule="auto"/>
              <w:jc w:val="center"/>
              <w:rPr>
                <w:rFonts w:ascii="Calibri" w:hAnsi="Calibri" w:cs="Calibri"/>
                <w:sz w:val="18"/>
                <w:szCs w:val="18"/>
              </w:rPr>
            </w:pPr>
            <w:r w:rsidRPr="00DE10AD">
              <w:rPr>
                <w:rFonts w:ascii="Calibri" w:hAnsi="Calibri" w:cs="Calibri"/>
                <w:color w:val="000000"/>
                <w:sz w:val="18"/>
                <w:szCs w:val="18"/>
              </w:rPr>
              <w:t>22.1</w:t>
            </w:r>
          </w:p>
        </w:tc>
      </w:tr>
      <w:tr w:rsidR="003E7175" w:rsidRPr="00F1446C" w14:paraId="2F969A83" w14:textId="77777777" w:rsidTr="003E7175">
        <w:trPr>
          <w:trHeight w:val="161"/>
          <w:jc w:val="center"/>
        </w:trPr>
        <w:tc>
          <w:tcPr>
            <w:tcW w:w="7626" w:type="dxa"/>
            <w:gridSpan w:val="9"/>
            <w:tcBorders>
              <w:top w:val="single" w:sz="4" w:space="0" w:color="auto"/>
            </w:tcBorders>
            <w:shd w:val="clear" w:color="auto" w:fill="auto"/>
            <w:noWrap/>
            <w:vAlign w:val="bottom"/>
          </w:tcPr>
          <w:p w14:paraId="3F25FE39" w14:textId="77777777" w:rsidR="003E7175" w:rsidRPr="00F1446C" w:rsidRDefault="003E7175" w:rsidP="006904AD">
            <w:pPr>
              <w:spacing w:after="0" w:line="240" w:lineRule="auto"/>
              <w:rPr>
                <w:rFonts w:ascii="Calibri" w:eastAsia="Times New Roman" w:hAnsi="Calibri" w:cs="Times New Roman"/>
                <w:bCs/>
                <w:color w:val="000000"/>
                <w:sz w:val="14"/>
                <w:szCs w:val="16"/>
                <w:lang w:eastAsia="es-MX"/>
              </w:rPr>
            </w:pPr>
            <w:r w:rsidRPr="00F1446C">
              <w:rPr>
                <w:rFonts w:ascii="Calibri" w:eastAsia="Times New Roman" w:hAnsi="Calibri" w:cs="Times New Roman"/>
                <w:bCs/>
                <w:color w:val="000000"/>
                <w:sz w:val="14"/>
                <w:szCs w:val="16"/>
                <w:lang w:eastAsia="es-MX"/>
              </w:rPr>
              <w:t>* Las posiciones generales en color azul fueron estimadas por la Dirección General de Evaluación Institucional (DGEI-UNAM).</w:t>
            </w:r>
          </w:p>
        </w:tc>
      </w:tr>
    </w:tbl>
    <w:p w14:paraId="499C6399" w14:textId="77777777" w:rsidR="0028587E" w:rsidRPr="00F1446C" w:rsidRDefault="0028587E" w:rsidP="00BC5FAF">
      <w:pPr>
        <w:spacing w:after="0" w:line="240" w:lineRule="auto"/>
        <w:jc w:val="both"/>
        <w:rPr>
          <w:sz w:val="24"/>
        </w:rPr>
      </w:pPr>
    </w:p>
    <w:tbl>
      <w:tblPr>
        <w:tblW w:w="11767" w:type="dxa"/>
        <w:jc w:val="center"/>
        <w:tblLayout w:type="fixed"/>
        <w:tblCellMar>
          <w:left w:w="70" w:type="dxa"/>
          <w:right w:w="70" w:type="dxa"/>
        </w:tblCellMar>
        <w:tblLook w:val="04A0" w:firstRow="1" w:lastRow="0" w:firstColumn="1" w:lastColumn="0" w:noHBand="0" w:noVBand="1"/>
      </w:tblPr>
      <w:tblGrid>
        <w:gridCol w:w="2837"/>
        <w:gridCol w:w="2135"/>
        <w:gridCol w:w="3359"/>
        <w:gridCol w:w="1295"/>
        <w:gridCol w:w="1112"/>
        <w:gridCol w:w="1029"/>
      </w:tblGrid>
      <w:tr w:rsidR="00ED038B" w:rsidRPr="00413B2A" w14:paraId="7D9538B0" w14:textId="77777777" w:rsidTr="00ED038B">
        <w:trPr>
          <w:trHeight w:val="114"/>
          <w:tblHeader/>
          <w:jc w:val="center"/>
        </w:trPr>
        <w:tc>
          <w:tcPr>
            <w:tcW w:w="11767" w:type="dxa"/>
            <w:gridSpan w:val="6"/>
            <w:tcBorders>
              <w:bottom w:val="single" w:sz="4" w:space="0" w:color="auto"/>
            </w:tcBorders>
            <w:shd w:val="clear" w:color="auto" w:fill="auto"/>
            <w:noWrap/>
            <w:vAlign w:val="center"/>
          </w:tcPr>
          <w:p w14:paraId="06837E69" w14:textId="22C70CCF" w:rsidR="00ED038B" w:rsidRPr="00413B2A" w:rsidRDefault="00ED038B" w:rsidP="006904AD">
            <w:pPr>
              <w:spacing w:after="0" w:line="240" w:lineRule="auto"/>
              <w:jc w:val="center"/>
              <w:rPr>
                <w:b/>
                <w:sz w:val="20"/>
                <w:szCs w:val="20"/>
              </w:rPr>
            </w:pPr>
            <w:r w:rsidRPr="00413B2A">
              <w:rPr>
                <w:b/>
                <w:sz w:val="20"/>
                <w:szCs w:val="20"/>
              </w:rPr>
              <w:t xml:space="preserve">Tabla </w:t>
            </w:r>
            <w:r w:rsidR="00413B2A" w:rsidRPr="00413B2A">
              <w:rPr>
                <w:b/>
                <w:sz w:val="20"/>
                <w:szCs w:val="20"/>
              </w:rPr>
              <w:t>5</w:t>
            </w:r>
            <w:r w:rsidRPr="00413B2A">
              <w:rPr>
                <w:b/>
                <w:sz w:val="20"/>
                <w:szCs w:val="20"/>
              </w:rPr>
              <w:t xml:space="preserve">. Académicos altamente citados </w:t>
            </w:r>
            <w:r w:rsidR="003243B0" w:rsidRPr="00413B2A">
              <w:rPr>
                <w:b/>
                <w:sz w:val="20"/>
                <w:szCs w:val="20"/>
              </w:rPr>
              <w:t xml:space="preserve">en </w:t>
            </w:r>
            <w:r w:rsidR="00326B79">
              <w:rPr>
                <w:b/>
                <w:sz w:val="20"/>
                <w:szCs w:val="20"/>
              </w:rPr>
              <w:t xml:space="preserve">México en </w:t>
            </w:r>
            <w:r w:rsidRPr="00413B2A">
              <w:rPr>
                <w:b/>
                <w:sz w:val="20"/>
                <w:szCs w:val="20"/>
              </w:rPr>
              <w:t>Clarivate Analytics, 202</w:t>
            </w:r>
            <w:r w:rsidR="003243B0" w:rsidRPr="00413B2A">
              <w:rPr>
                <w:b/>
                <w:sz w:val="20"/>
                <w:szCs w:val="20"/>
              </w:rPr>
              <w:t>1</w:t>
            </w:r>
            <w:r w:rsidRPr="00413B2A">
              <w:rPr>
                <w:b/>
                <w:sz w:val="20"/>
                <w:szCs w:val="20"/>
              </w:rPr>
              <w:t>.</w:t>
            </w:r>
          </w:p>
        </w:tc>
      </w:tr>
      <w:tr w:rsidR="00ED038B" w:rsidRPr="00F1446C" w14:paraId="209E6493" w14:textId="77777777" w:rsidTr="00073FD1">
        <w:trPr>
          <w:trHeight w:val="17"/>
          <w:tblHeader/>
          <w:jc w:val="center"/>
        </w:trPr>
        <w:tc>
          <w:tcPr>
            <w:tcW w:w="2837" w:type="dxa"/>
            <w:vMerge w:val="restart"/>
            <w:tcBorders>
              <w:top w:val="single" w:sz="4" w:space="0" w:color="auto"/>
              <w:left w:val="single" w:sz="4" w:space="0" w:color="auto"/>
              <w:right w:val="single" w:sz="4" w:space="0" w:color="auto"/>
            </w:tcBorders>
            <w:shd w:val="clear" w:color="auto" w:fill="DEEAF6" w:themeFill="accent1" w:themeFillTint="33"/>
            <w:noWrap/>
            <w:vAlign w:val="center"/>
          </w:tcPr>
          <w:p w14:paraId="60ACC121" w14:textId="77777777" w:rsidR="00ED038B" w:rsidRPr="00F1446C" w:rsidRDefault="00ED038B" w:rsidP="006904AD">
            <w:pPr>
              <w:spacing w:after="0" w:line="240" w:lineRule="auto"/>
              <w:jc w:val="center"/>
              <w:rPr>
                <w:rFonts w:ascii="Calibri" w:eastAsia="Times New Roman" w:hAnsi="Calibri" w:cs="Times New Roman"/>
                <w:b/>
                <w:bCs/>
                <w:color w:val="000000"/>
                <w:sz w:val="20"/>
                <w:szCs w:val="20"/>
                <w:lang w:eastAsia="es-MX"/>
              </w:rPr>
            </w:pPr>
            <w:r w:rsidRPr="00F1446C">
              <w:rPr>
                <w:rFonts w:ascii="Calibri" w:eastAsia="Times New Roman" w:hAnsi="Calibri" w:cs="Times New Roman"/>
                <w:b/>
                <w:bCs/>
                <w:color w:val="000000"/>
                <w:sz w:val="20"/>
                <w:szCs w:val="20"/>
                <w:lang w:eastAsia="es-MX"/>
              </w:rPr>
              <w:t>Nombre</w:t>
            </w:r>
          </w:p>
        </w:tc>
        <w:tc>
          <w:tcPr>
            <w:tcW w:w="2135"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5E79FF4E" w14:textId="77777777" w:rsidR="00ED038B" w:rsidRPr="00F1446C" w:rsidRDefault="00ED038B" w:rsidP="006904AD">
            <w:pPr>
              <w:spacing w:after="0" w:line="240" w:lineRule="auto"/>
              <w:jc w:val="center"/>
              <w:rPr>
                <w:rFonts w:ascii="Calibri" w:eastAsia="Times New Roman" w:hAnsi="Calibri" w:cs="Times New Roman"/>
                <w:b/>
                <w:bCs/>
                <w:color w:val="000000"/>
                <w:sz w:val="20"/>
                <w:szCs w:val="20"/>
                <w:lang w:eastAsia="es-MX"/>
              </w:rPr>
            </w:pPr>
            <w:r w:rsidRPr="00F1446C">
              <w:rPr>
                <w:rFonts w:ascii="Calibri" w:eastAsia="Times New Roman" w:hAnsi="Calibri" w:cs="Times New Roman"/>
                <w:b/>
                <w:bCs/>
                <w:color w:val="000000"/>
                <w:sz w:val="20"/>
                <w:szCs w:val="20"/>
                <w:lang w:eastAsia="es-MX"/>
              </w:rPr>
              <w:t>Área</w:t>
            </w:r>
          </w:p>
        </w:tc>
        <w:tc>
          <w:tcPr>
            <w:tcW w:w="3359"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094437E5" w14:textId="77777777" w:rsidR="00ED038B" w:rsidRPr="00F1446C" w:rsidRDefault="00ED038B" w:rsidP="006904AD">
            <w:pPr>
              <w:spacing w:after="0" w:line="240" w:lineRule="auto"/>
              <w:jc w:val="center"/>
              <w:rPr>
                <w:rFonts w:ascii="Calibri" w:eastAsia="Times New Roman" w:hAnsi="Calibri" w:cs="Times New Roman"/>
                <w:b/>
                <w:bCs/>
                <w:color w:val="000000"/>
                <w:sz w:val="20"/>
                <w:szCs w:val="20"/>
                <w:lang w:eastAsia="es-MX"/>
              </w:rPr>
            </w:pPr>
            <w:r w:rsidRPr="00F1446C">
              <w:rPr>
                <w:rFonts w:ascii="Calibri" w:eastAsia="Times New Roman" w:hAnsi="Calibri" w:cs="Times New Roman"/>
                <w:b/>
                <w:bCs/>
                <w:color w:val="000000"/>
                <w:sz w:val="20"/>
                <w:szCs w:val="20"/>
                <w:lang w:eastAsia="es-MX"/>
              </w:rPr>
              <w:t>Institución</w:t>
            </w:r>
          </w:p>
        </w:tc>
        <w:tc>
          <w:tcPr>
            <w:tcW w:w="3436"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1920F687" w14:textId="77777777" w:rsidR="00ED038B" w:rsidRPr="00F1446C" w:rsidRDefault="00ED038B" w:rsidP="006904AD">
            <w:pPr>
              <w:spacing w:after="0" w:line="240" w:lineRule="auto"/>
              <w:jc w:val="center"/>
              <w:rPr>
                <w:rFonts w:ascii="Calibri" w:eastAsia="Times New Roman" w:hAnsi="Calibri" w:cs="Times New Roman"/>
                <w:b/>
                <w:bCs/>
                <w:color w:val="000000"/>
                <w:sz w:val="20"/>
                <w:szCs w:val="20"/>
                <w:lang w:eastAsia="es-MX"/>
              </w:rPr>
            </w:pPr>
            <w:r w:rsidRPr="00F1446C">
              <w:rPr>
                <w:rFonts w:ascii="Calibri" w:eastAsia="Times New Roman" w:hAnsi="Calibri" w:cs="Times New Roman"/>
                <w:b/>
                <w:bCs/>
                <w:color w:val="000000"/>
                <w:sz w:val="20"/>
                <w:szCs w:val="20"/>
                <w:lang w:eastAsia="es-MX"/>
              </w:rPr>
              <w:t>Perfil</w:t>
            </w:r>
          </w:p>
        </w:tc>
      </w:tr>
      <w:tr w:rsidR="00ED038B" w:rsidRPr="00F1446C" w14:paraId="1BF3025F" w14:textId="77777777" w:rsidTr="00073FD1">
        <w:trPr>
          <w:trHeight w:val="16"/>
          <w:tblHeader/>
          <w:jc w:val="center"/>
        </w:trPr>
        <w:tc>
          <w:tcPr>
            <w:tcW w:w="2837" w:type="dxa"/>
            <w:vMerge/>
            <w:tcBorders>
              <w:left w:val="single" w:sz="4" w:space="0" w:color="auto"/>
              <w:right w:val="single" w:sz="4" w:space="0" w:color="auto"/>
            </w:tcBorders>
            <w:shd w:val="clear" w:color="auto" w:fill="DEEAF6" w:themeFill="accent1" w:themeFillTint="33"/>
            <w:noWrap/>
            <w:vAlign w:val="center"/>
          </w:tcPr>
          <w:p w14:paraId="77851279" w14:textId="77777777" w:rsidR="00ED038B" w:rsidRPr="00F1446C" w:rsidRDefault="00ED038B" w:rsidP="006904AD">
            <w:pPr>
              <w:spacing w:after="0" w:line="240" w:lineRule="auto"/>
              <w:rPr>
                <w:rFonts w:ascii="Calibri" w:eastAsia="Times New Roman" w:hAnsi="Calibri" w:cs="Times New Roman"/>
                <w:b/>
                <w:bCs/>
                <w:color w:val="000000"/>
                <w:sz w:val="20"/>
                <w:szCs w:val="20"/>
                <w:lang w:eastAsia="es-MX"/>
              </w:rPr>
            </w:pPr>
          </w:p>
        </w:tc>
        <w:tc>
          <w:tcPr>
            <w:tcW w:w="2135" w:type="dxa"/>
            <w:vMerge/>
            <w:tcBorders>
              <w:left w:val="single" w:sz="4" w:space="0" w:color="auto"/>
              <w:right w:val="single" w:sz="4" w:space="0" w:color="auto"/>
            </w:tcBorders>
            <w:shd w:val="clear" w:color="auto" w:fill="DEEAF6" w:themeFill="accent1" w:themeFillTint="33"/>
            <w:vAlign w:val="center"/>
          </w:tcPr>
          <w:p w14:paraId="47229934" w14:textId="77777777" w:rsidR="00ED038B" w:rsidRPr="00F1446C" w:rsidRDefault="00ED038B" w:rsidP="006904AD">
            <w:pPr>
              <w:spacing w:after="0" w:line="240" w:lineRule="auto"/>
              <w:rPr>
                <w:rFonts w:ascii="Calibri" w:eastAsia="Times New Roman" w:hAnsi="Calibri" w:cs="Times New Roman"/>
                <w:b/>
                <w:bCs/>
                <w:color w:val="000000"/>
                <w:sz w:val="20"/>
                <w:szCs w:val="20"/>
                <w:lang w:eastAsia="es-MX"/>
              </w:rPr>
            </w:pPr>
          </w:p>
        </w:tc>
        <w:tc>
          <w:tcPr>
            <w:tcW w:w="3359" w:type="dxa"/>
            <w:vMerge/>
            <w:tcBorders>
              <w:left w:val="single" w:sz="4" w:space="0" w:color="auto"/>
              <w:right w:val="single" w:sz="4" w:space="0" w:color="auto"/>
            </w:tcBorders>
            <w:shd w:val="clear" w:color="auto" w:fill="DEEAF6" w:themeFill="accent1" w:themeFillTint="33"/>
            <w:vAlign w:val="center"/>
          </w:tcPr>
          <w:p w14:paraId="155C3370" w14:textId="77777777" w:rsidR="00ED038B" w:rsidRPr="00F1446C" w:rsidRDefault="00ED038B" w:rsidP="006904AD">
            <w:pPr>
              <w:spacing w:after="0" w:line="240" w:lineRule="auto"/>
              <w:rPr>
                <w:rFonts w:ascii="Calibri" w:eastAsia="Times New Roman" w:hAnsi="Calibri" w:cs="Times New Roman"/>
                <w:b/>
                <w:bCs/>
                <w:color w:val="000000"/>
                <w:sz w:val="20"/>
                <w:szCs w:val="20"/>
                <w:lang w:eastAsia="es-MX"/>
              </w:rPr>
            </w:pPr>
          </w:p>
        </w:tc>
        <w:tc>
          <w:tcPr>
            <w:tcW w:w="1295" w:type="dxa"/>
            <w:tcBorders>
              <w:top w:val="single" w:sz="4" w:space="0" w:color="auto"/>
              <w:left w:val="single" w:sz="4" w:space="0" w:color="auto"/>
              <w:right w:val="single" w:sz="4" w:space="0" w:color="auto"/>
            </w:tcBorders>
            <w:shd w:val="clear" w:color="auto" w:fill="F2F2F2" w:themeFill="background1" w:themeFillShade="F2"/>
          </w:tcPr>
          <w:p w14:paraId="0D2E1779" w14:textId="77777777" w:rsidR="00ED038B" w:rsidRPr="00F1446C" w:rsidRDefault="00ED038B" w:rsidP="006904AD">
            <w:pPr>
              <w:spacing w:after="0" w:line="240" w:lineRule="auto"/>
              <w:jc w:val="center"/>
              <w:rPr>
                <w:rFonts w:ascii="Calibri" w:eastAsia="Times New Roman" w:hAnsi="Calibri" w:cs="Times New Roman"/>
                <w:b/>
                <w:bCs/>
                <w:color w:val="000000"/>
                <w:sz w:val="20"/>
                <w:szCs w:val="20"/>
                <w:lang w:eastAsia="es-MX"/>
              </w:rPr>
            </w:pPr>
            <w:r w:rsidRPr="00F1446C">
              <w:rPr>
                <w:b/>
                <w:bCs/>
                <w:sz w:val="20"/>
                <w:szCs w:val="20"/>
              </w:rPr>
              <w:t>Publicaciones</w:t>
            </w:r>
          </w:p>
        </w:tc>
        <w:tc>
          <w:tcPr>
            <w:tcW w:w="1112" w:type="dxa"/>
            <w:tcBorders>
              <w:top w:val="single" w:sz="4" w:space="0" w:color="auto"/>
              <w:left w:val="single" w:sz="4" w:space="0" w:color="auto"/>
              <w:right w:val="single" w:sz="4" w:space="0" w:color="auto"/>
            </w:tcBorders>
            <w:shd w:val="clear" w:color="auto" w:fill="F2F2F2" w:themeFill="background1" w:themeFillShade="F2"/>
          </w:tcPr>
          <w:p w14:paraId="3C4730E2" w14:textId="77777777" w:rsidR="00ED038B" w:rsidRPr="00F1446C" w:rsidRDefault="00ED038B" w:rsidP="006904AD">
            <w:pPr>
              <w:spacing w:after="0" w:line="240" w:lineRule="auto"/>
              <w:jc w:val="center"/>
              <w:rPr>
                <w:rFonts w:ascii="Calibri" w:eastAsia="Times New Roman" w:hAnsi="Calibri" w:cs="Times New Roman"/>
                <w:b/>
                <w:bCs/>
                <w:color w:val="000000"/>
                <w:sz w:val="20"/>
                <w:szCs w:val="20"/>
                <w:lang w:eastAsia="es-MX"/>
              </w:rPr>
            </w:pPr>
            <w:r w:rsidRPr="00F1446C">
              <w:rPr>
                <w:b/>
                <w:bCs/>
                <w:sz w:val="20"/>
                <w:szCs w:val="20"/>
              </w:rPr>
              <w:t>Citas</w:t>
            </w:r>
          </w:p>
        </w:tc>
        <w:tc>
          <w:tcPr>
            <w:tcW w:w="1029" w:type="dxa"/>
            <w:tcBorders>
              <w:top w:val="single" w:sz="4" w:space="0" w:color="auto"/>
              <w:left w:val="single" w:sz="4" w:space="0" w:color="auto"/>
              <w:right w:val="single" w:sz="4" w:space="0" w:color="auto"/>
            </w:tcBorders>
            <w:shd w:val="clear" w:color="auto" w:fill="F2F2F2" w:themeFill="background1" w:themeFillShade="F2"/>
          </w:tcPr>
          <w:p w14:paraId="122B2339" w14:textId="77777777" w:rsidR="00ED038B" w:rsidRPr="00F1446C" w:rsidRDefault="00ED038B" w:rsidP="006904AD">
            <w:pPr>
              <w:spacing w:after="0" w:line="240" w:lineRule="auto"/>
              <w:jc w:val="center"/>
              <w:rPr>
                <w:rFonts w:ascii="Calibri" w:eastAsia="Times New Roman" w:hAnsi="Calibri" w:cs="Times New Roman"/>
                <w:b/>
                <w:bCs/>
                <w:color w:val="000000"/>
                <w:sz w:val="20"/>
                <w:szCs w:val="20"/>
                <w:lang w:eastAsia="es-MX"/>
              </w:rPr>
            </w:pPr>
            <w:r w:rsidRPr="00F1446C">
              <w:rPr>
                <w:b/>
                <w:bCs/>
                <w:sz w:val="20"/>
                <w:szCs w:val="20"/>
              </w:rPr>
              <w:t>Índice H</w:t>
            </w:r>
          </w:p>
        </w:tc>
      </w:tr>
      <w:tr w:rsidR="00073FD1" w:rsidRPr="00DE10AD" w14:paraId="57CEADBA" w14:textId="77777777" w:rsidTr="00073FD1">
        <w:trPr>
          <w:trHeight w:val="316"/>
          <w:tblHeader/>
          <w:jc w:val="center"/>
        </w:trPr>
        <w:tc>
          <w:tcPr>
            <w:tcW w:w="2837" w:type="dxa"/>
            <w:tcBorders>
              <w:top w:val="single" w:sz="4" w:space="0" w:color="auto"/>
              <w:left w:val="single" w:sz="4" w:space="0" w:color="auto"/>
              <w:right w:val="single" w:sz="4" w:space="0" w:color="auto"/>
            </w:tcBorders>
            <w:shd w:val="clear" w:color="auto" w:fill="FFFFFF" w:themeFill="background1"/>
            <w:noWrap/>
            <w:vAlign w:val="center"/>
          </w:tcPr>
          <w:p w14:paraId="54AEC6FC" w14:textId="2A2C4918"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Ravi Prakash Singh</w:t>
            </w:r>
          </w:p>
        </w:tc>
        <w:tc>
          <w:tcPr>
            <w:tcW w:w="2135" w:type="dxa"/>
            <w:tcBorders>
              <w:top w:val="single" w:sz="4" w:space="0" w:color="auto"/>
              <w:left w:val="single" w:sz="4" w:space="0" w:color="auto"/>
              <w:right w:val="single" w:sz="4" w:space="0" w:color="auto"/>
            </w:tcBorders>
            <w:shd w:val="clear" w:color="auto" w:fill="FFFFFF" w:themeFill="background1"/>
            <w:vAlign w:val="center"/>
          </w:tcPr>
          <w:p w14:paraId="50148E88" w14:textId="23118465"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Ciencias Agrícolas</w:t>
            </w:r>
          </w:p>
        </w:tc>
        <w:tc>
          <w:tcPr>
            <w:tcW w:w="3359" w:type="dxa"/>
            <w:tcBorders>
              <w:top w:val="single" w:sz="4" w:space="0" w:color="auto"/>
              <w:left w:val="single" w:sz="4" w:space="0" w:color="auto"/>
              <w:right w:val="single" w:sz="4" w:space="0" w:color="auto"/>
            </w:tcBorders>
            <w:shd w:val="clear" w:color="auto" w:fill="FFFFFF" w:themeFill="background1"/>
            <w:vAlign w:val="center"/>
          </w:tcPr>
          <w:p w14:paraId="3FACE135" w14:textId="0D1C77C6"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Centro Internacional de Mejoramiento de Maíz y Trigo</w:t>
            </w:r>
          </w:p>
        </w:tc>
        <w:tc>
          <w:tcPr>
            <w:tcW w:w="1295" w:type="dxa"/>
            <w:tcBorders>
              <w:top w:val="single" w:sz="4" w:space="0" w:color="auto"/>
              <w:left w:val="single" w:sz="4" w:space="0" w:color="auto"/>
              <w:right w:val="single" w:sz="4" w:space="0" w:color="auto"/>
            </w:tcBorders>
            <w:shd w:val="clear" w:color="auto" w:fill="FFFFFF" w:themeFill="background1"/>
            <w:vAlign w:val="center"/>
          </w:tcPr>
          <w:p w14:paraId="66487403" w14:textId="5CD7CD8E"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300</w:t>
            </w:r>
          </w:p>
        </w:tc>
        <w:tc>
          <w:tcPr>
            <w:tcW w:w="1112" w:type="dxa"/>
            <w:tcBorders>
              <w:top w:val="single" w:sz="4" w:space="0" w:color="auto"/>
              <w:left w:val="single" w:sz="4" w:space="0" w:color="auto"/>
              <w:right w:val="single" w:sz="4" w:space="0" w:color="auto"/>
            </w:tcBorders>
            <w:shd w:val="clear" w:color="auto" w:fill="FFFFFF" w:themeFill="background1"/>
            <w:vAlign w:val="center"/>
          </w:tcPr>
          <w:p w14:paraId="0497750E" w14:textId="1DF3B83A"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15</w:t>
            </w:r>
            <w:r>
              <w:rPr>
                <w:rFonts w:ascii="Calibri" w:hAnsi="Calibri" w:cs="Calibri"/>
                <w:color w:val="000000"/>
                <w:sz w:val="18"/>
                <w:szCs w:val="18"/>
              </w:rPr>
              <w:t>,</w:t>
            </w:r>
            <w:r w:rsidRPr="00073FD1">
              <w:rPr>
                <w:rFonts w:ascii="Calibri" w:hAnsi="Calibri" w:cs="Calibri"/>
                <w:color w:val="000000"/>
                <w:sz w:val="18"/>
                <w:szCs w:val="18"/>
              </w:rPr>
              <w:t>521</w:t>
            </w:r>
          </w:p>
        </w:tc>
        <w:tc>
          <w:tcPr>
            <w:tcW w:w="1029" w:type="dxa"/>
            <w:tcBorders>
              <w:top w:val="single" w:sz="4" w:space="0" w:color="auto"/>
              <w:left w:val="single" w:sz="4" w:space="0" w:color="auto"/>
              <w:right w:val="single" w:sz="4" w:space="0" w:color="auto"/>
            </w:tcBorders>
            <w:shd w:val="clear" w:color="auto" w:fill="FFFFFF" w:themeFill="background1"/>
            <w:vAlign w:val="center"/>
          </w:tcPr>
          <w:p w14:paraId="41724505" w14:textId="228E52AE"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67</w:t>
            </w:r>
          </w:p>
        </w:tc>
      </w:tr>
      <w:tr w:rsidR="00073FD1" w:rsidRPr="00DE10AD" w14:paraId="161396E8" w14:textId="77777777" w:rsidTr="00073FD1">
        <w:trPr>
          <w:trHeight w:val="316"/>
          <w:tblHeader/>
          <w:jc w:val="center"/>
        </w:trPr>
        <w:tc>
          <w:tcPr>
            <w:tcW w:w="2837" w:type="dxa"/>
            <w:tcBorders>
              <w:top w:val="single" w:sz="4" w:space="0" w:color="auto"/>
              <w:left w:val="single" w:sz="4" w:space="0" w:color="auto"/>
              <w:right w:val="single" w:sz="4" w:space="0" w:color="auto"/>
            </w:tcBorders>
            <w:shd w:val="clear" w:color="auto" w:fill="E7E6E6" w:themeFill="background2"/>
            <w:noWrap/>
            <w:vAlign w:val="center"/>
          </w:tcPr>
          <w:p w14:paraId="2EEB9B67" w14:textId="1FCC14DD"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Matthew Paul Reynolds</w:t>
            </w:r>
          </w:p>
        </w:tc>
        <w:tc>
          <w:tcPr>
            <w:tcW w:w="2135" w:type="dxa"/>
            <w:tcBorders>
              <w:top w:val="single" w:sz="4" w:space="0" w:color="auto"/>
              <w:left w:val="single" w:sz="4" w:space="0" w:color="auto"/>
              <w:right w:val="single" w:sz="4" w:space="0" w:color="auto"/>
            </w:tcBorders>
            <w:shd w:val="clear" w:color="auto" w:fill="E7E6E6" w:themeFill="background2"/>
            <w:vAlign w:val="center"/>
          </w:tcPr>
          <w:p w14:paraId="1FB5884D" w14:textId="5A8BF532"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Ciencia vegetal y animal</w:t>
            </w:r>
          </w:p>
        </w:tc>
        <w:tc>
          <w:tcPr>
            <w:tcW w:w="3359" w:type="dxa"/>
            <w:tcBorders>
              <w:top w:val="single" w:sz="4" w:space="0" w:color="auto"/>
              <w:left w:val="single" w:sz="4" w:space="0" w:color="auto"/>
              <w:right w:val="single" w:sz="4" w:space="0" w:color="auto"/>
            </w:tcBorders>
            <w:shd w:val="clear" w:color="auto" w:fill="E7E6E6" w:themeFill="background2"/>
            <w:vAlign w:val="center"/>
          </w:tcPr>
          <w:p w14:paraId="123AA933" w14:textId="2C8D5550"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Centro Internacional de Mejoramiento de Maíz y Trigo</w:t>
            </w:r>
          </w:p>
        </w:tc>
        <w:tc>
          <w:tcPr>
            <w:tcW w:w="1295" w:type="dxa"/>
            <w:tcBorders>
              <w:top w:val="single" w:sz="4" w:space="0" w:color="auto"/>
              <w:left w:val="single" w:sz="4" w:space="0" w:color="auto"/>
              <w:right w:val="single" w:sz="4" w:space="0" w:color="auto"/>
            </w:tcBorders>
            <w:shd w:val="clear" w:color="auto" w:fill="E7E6E6" w:themeFill="background2"/>
            <w:vAlign w:val="center"/>
          </w:tcPr>
          <w:p w14:paraId="6F79B7FB" w14:textId="5FE8B3A4"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201</w:t>
            </w:r>
          </w:p>
        </w:tc>
        <w:tc>
          <w:tcPr>
            <w:tcW w:w="1112" w:type="dxa"/>
            <w:tcBorders>
              <w:top w:val="single" w:sz="4" w:space="0" w:color="auto"/>
              <w:left w:val="single" w:sz="4" w:space="0" w:color="auto"/>
              <w:right w:val="single" w:sz="4" w:space="0" w:color="auto"/>
            </w:tcBorders>
            <w:shd w:val="clear" w:color="auto" w:fill="E7E6E6" w:themeFill="background2"/>
            <w:vAlign w:val="center"/>
          </w:tcPr>
          <w:p w14:paraId="2B9409B4" w14:textId="29EF3D5F"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15</w:t>
            </w:r>
            <w:r>
              <w:rPr>
                <w:rFonts w:ascii="Calibri" w:hAnsi="Calibri" w:cs="Calibri"/>
                <w:color w:val="000000"/>
                <w:sz w:val="18"/>
                <w:szCs w:val="18"/>
              </w:rPr>
              <w:t>,</w:t>
            </w:r>
            <w:r w:rsidRPr="00073FD1">
              <w:rPr>
                <w:rFonts w:ascii="Calibri" w:hAnsi="Calibri" w:cs="Calibri"/>
                <w:color w:val="000000"/>
                <w:sz w:val="18"/>
                <w:szCs w:val="18"/>
              </w:rPr>
              <w:t>326</w:t>
            </w:r>
          </w:p>
        </w:tc>
        <w:tc>
          <w:tcPr>
            <w:tcW w:w="1029" w:type="dxa"/>
            <w:tcBorders>
              <w:top w:val="single" w:sz="4" w:space="0" w:color="auto"/>
              <w:left w:val="single" w:sz="4" w:space="0" w:color="auto"/>
              <w:right w:val="single" w:sz="4" w:space="0" w:color="auto"/>
            </w:tcBorders>
            <w:shd w:val="clear" w:color="auto" w:fill="E7E6E6" w:themeFill="background2"/>
            <w:vAlign w:val="center"/>
          </w:tcPr>
          <w:p w14:paraId="6944F90F" w14:textId="751B4E26"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65</w:t>
            </w:r>
          </w:p>
        </w:tc>
      </w:tr>
      <w:tr w:rsidR="00073FD1" w:rsidRPr="00DE10AD" w14:paraId="697E5DA1" w14:textId="77777777" w:rsidTr="00073FD1">
        <w:trPr>
          <w:trHeight w:val="316"/>
          <w:tblHeader/>
          <w:jc w:val="center"/>
        </w:trPr>
        <w:tc>
          <w:tcPr>
            <w:tcW w:w="2837" w:type="dxa"/>
            <w:tcBorders>
              <w:top w:val="single" w:sz="4" w:space="0" w:color="auto"/>
              <w:left w:val="single" w:sz="4" w:space="0" w:color="auto"/>
              <w:right w:val="single" w:sz="4" w:space="0" w:color="auto"/>
            </w:tcBorders>
            <w:shd w:val="clear" w:color="auto" w:fill="FFFFFF" w:themeFill="background1"/>
            <w:noWrap/>
            <w:vAlign w:val="center"/>
          </w:tcPr>
          <w:p w14:paraId="08910FB0" w14:textId="01B4E439"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Julio Huerta Espino</w:t>
            </w:r>
          </w:p>
        </w:tc>
        <w:tc>
          <w:tcPr>
            <w:tcW w:w="2135" w:type="dxa"/>
            <w:tcBorders>
              <w:top w:val="single" w:sz="4" w:space="0" w:color="auto"/>
              <w:left w:val="single" w:sz="4" w:space="0" w:color="auto"/>
              <w:right w:val="single" w:sz="4" w:space="0" w:color="auto"/>
            </w:tcBorders>
            <w:shd w:val="clear" w:color="auto" w:fill="FFFFFF" w:themeFill="background1"/>
            <w:vAlign w:val="center"/>
          </w:tcPr>
          <w:p w14:paraId="40137867" w14:textId="17A54EE6"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No especificado</w:t>
            </w:r>
          </w:p>
        </w:tc>
        <w:tc>
          <w:tcPr>
            <w:tcW w:w="3359" w:type="dxa"/>
            <w:tcBorders>
              <w:top w:val="single" w:sz="4" w:space="0" w:color="auto"/>
              <w:left w:val="single" w:sz="4" w:space="0" w:color="auto"/>
              <w:right w:val="single" w:sz="4" w:space="0" w:color="auto"/>
            </w:tcBorders>
            <w:shd w:val="clear" w:color="auto" w:fill="FFFFFF" w:themeFill="background1"/>
            <w:vAlign w:val="center"/>
          </w:tcPr>
          <w:p w14:paraId="45FEDA5D" w14:textId="4AFE0A0A"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Instituto Nacional de Investigaciones Forestales, Agrícolas y Pecuarias</w:t>
            </w:r>
          </w:p>
        </w:tc>
        <w:tc>
          <w:tcPr>
            <w:tcW w:w="1295" w:type="dxa"/>
            <w:tcBorders>
              <w:top w:val="single" w:sz="4" w:space="0" w:color="auto"/>
              <w:left w:val="single" w:sz="4" w:space="0" w:color="auto"/>
              <w:right w:val="single" w:sz="4" w:space="0" w:color="auto"/>
            </w:tcBorders>
            <w:shd w:val="clear" w:color="auto" w:fill="FFFFFF" w:themeFill="background1"/>
            <w:vAlign w:val="center"/>
          </w:tcPr>
          <w:p w14:paraId="5D0BFE8C" w14:textId="77E705A8"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132</w:t>
            </w:r>
          </w:p>
        </w:tc>
        <w:tc>
          <w:tcPr>
            <w:tcW w:w="1112" w:type="dxa"/>
            <w:tcBorders>
              <w:top w:val="single" w:sz="4" w:space="0" w:color="auto"/>
              <w:left w:val="single" w:sz="4" w:space="0" w:color="auto"/>
              <w:right w:val="single" w:sz="4" w:space="0" w:color="auto"/>
            </w:tcBorders>
            <w:shd w:val="clear" w:color="auto" w:fill="FFFFFF" w:themeFill="background1"/>
            <w:vAlign w:val="center"/>
          </w:tcPr>
          <w:p w14:paraId="303115C1" w14:textId="5A12371B"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6</w:t>
            </w:r>
            <w:r>
              <w:rPr>
                <w:rFonts w:ascii="Calibri" w:hAnsi="Calibri" w:cs="Calibri"/>
                <w:color w:val="000000"/>
                <w:sz w:val="18"/>
                <w:szCs w:val="18"/>
              </w:rPr>
              <w:t>,</w:t>
            </w:r>
            <w:r w:rsidRPr="00073FD1">
              <w:rPr>
                <w:rFonts w:ascii="Calibri" w:hAnsi="Calibri" w:cs="Calibri"/>
                <w:color w:val="000000"/>
                <w:sz w:val="18"/>
                <w:szCs w:val="18"/>
              </w:rPr>
              <w:t>307</w:t>
            </w:r>
          </w:p>
        </w:tc>
        <w:tc>
          <w:tcPr>
            <w:tcW w:w="1029" w:type="dxa"/>
            <w:tcBorders>
              <w:top w:val="single" w:sz="4" w:space="0" w:color="auto"/>
              <w:left w:val="single" w:sz="4" w:space="0" w:color="auto"/>
              <w:right w:val="single" w:sz="4" w:space="0" w:color="auto"/>
            </w:tcBorders>
            <w:shd w:val="clear" w:color="auto" w:fill="FFFFFF" w:themeFill="background1"/>
            <w:vAlign w:val="center"/>
          </w:tcPr>
          <w:p w14:paraId="661C5F3C" w14:textId="314A74D4"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40</w:t>
            </w:r>
          </w:p>
        </w:tc>
      </w:tr>
      <w:tr w:rsidR="00073FD1" w:rsidRPr="00DE10AD" w14:paraId="147F5898" w14:textId="77777777" w:rsidTr="00073FD1">
        <w:trPr>
          <w:trHeight w:val="316"/>
          <w:tblHeader/>
          <w:jc w:val="center"/>
        </w:trPr>
        <w:tc>
          <w:tcPr>
            <w:tcW w:w="2837" w:type="dxa"/>
            <w:tcBorders>
              <w:top w:val="single" w:sz="4" w:space="0" w:color="auto"/>
              <w:left w:val="single" w:sz="4" w:space="0" w:color="auto"/>
              <w:right w:val="single" w:sz="4" w:space="0" w:color="auto"/>
            </w:tcBorders>
            <w:shd w:val="clear" w:color="auto" w:fill="E7E6E6" w:themeFill="background2"/>
            <w:noWrap/>
            <w:vAlign w:val="center"/>
          </w:tcPr>
          <w:p w14:paraId="2FDAEBB7" w14:textId="51129BAE"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Juan Ángel Rivera Dommarco </w:t>
            </w:r>
          </w:p>
        </w:tc>
        <w:tc>
          <w:tcPr>
            <w:tcW w:w="2135" w:type="dxa"/>
            <w:tcBorders>
              <w:top w:val="single" w:sz="4" w:space="0" w:color="auto"/>
              <w:left w:val="single" w:sz="4" w:space="0" w:color="auto"/>
              <w:right w:val="single" w:sz="4" w:space="0" w:color="auto"/>
            </w:tcBorders>
            <w:shd w:val="clear" w:color="auto" w:fill="E7E6E6" w:themeFill="background2"/>
            <w:vAlign w:val="center"/>
          </w:tcPr>
          <w:p w14:paraId="7C91997A" w14:textId="46B0E450"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No especificado</w:t>
            </w:r>
          </w:p>
        </w:tc>
        <w:tc>
          <w:tcPr>
            <w:tcW w:w="3359" w:type="dxa"/>
            <w:tcBorders>
              <w:top w:val="single" w:sz="4" w:space="0" w:color="auto"/>
              <w:left w:val="single" w:sz="4" w:space="0" w:color="auto"/>
              <w:right w:val="single" w:sz="4" w:space="0" w:color="auto"/>
            </w:tcBorders>
            <w:shd w:val="clear" w:color="auto" w:fill="E7E6E6" w:themeFill="background2"/>
            <w:vAlign w:val="center"/>
          </w:tcPr>
          <w:p w14:paraId="78B9E0E4" w14:textId="557E50A1"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Instituto Nacional de Salud Pública</w:t>
            </w:r>
          </w:p>
        </w:tc>
        <w:tc>
          <w:tcPr>
            <w:tcW w:w="1295" w:type="dxa"/>
            <w:tcBorders>
              <w:top w:val="single" w:sz="4" w:space="0" w:color="auto"/>
              <w:left w:val="single" w:sz="4" w:space="0" w:color="auto"/>
              <w:right w:val="single" w:sz="4" w:space="0" w:color="auto"/>
            </w:tcBorders>
            <w:shd w:val="clear" w:color="auto" w:fill="E7E6E6" w:themeFill="background2"/>
            <w:vAlign w:val="center"/>
          </w:tcPr>
          <w:p w14:paraId="0DF58989" w14:textId="048DD974"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N/D</w:t>
            </w:r>
          </w:p>
        </w:tc>
        <w:tc>
          <w:tcPr>
            <w:tcW w:w="1112" w:type="dxa"/>
            <w:tcBorders>
              <w:top w:val="single" w:sz="4" w:space="0" w:color="auto"/>
              <w:left w:val="single" w:sz="4" w:space="0" w:color="auto"/>
              <w:right w:val="single" w:sz="4" w:space="0" w:color="auto"/>
            </w:tcBorders>
            <w:shd w:val="clear" w:color="auto" w:fill="E7E6E6" w:themeFill="background2"/>
            <w:vAlign w:val="center"/>
          </w:tcPr>
          <w:p w14:paraId="1FAA063E" w14:textId="1DD61751"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N/D</w:t>
            </w:r>
          </w:p>
        </w:tc>
        <w:tc>
          <w:tcPr>
            <w:tcW w:w="1029" w:type="dxa"/>
            <w:tcBorders>
              <w:top w:val="single" w:sz="4" w:space="0" w:color="auto"/>
              <w:left w:val="single" w:sz="4" w:space="0" w:color="auto"/>
              <w:right w:val="single" w:sz="4" w:space="0" w:color="auto"/>
            </w:tcBorders>
            <w:shd w:val="clear" w:color="auto" w:fill="E7E6E6" w:themeFill="background2"/>
            <w:vAlign w:val="center"/>
          </w:tcPr>
          <w:p w14:paraId="58BE3836" w14:textId="4AB85DCF" w:rsidR="00073FD1" w:rsidRPr="00073FD1" w:rsidRDefault="00073FD1" w:rsidP="00073FD1">
            <w:pPr>
              <w:spacing w:after="0" w:line="240" w:lineRule="auto"/>
              <w:jc w:val="center"/>
              <w:rPr>
                <w:rFonts w:ascii="Calibri" w:eastAsia="Times New Roman" w:hAnsi="Calibri" w:cs="Times New Roman"/>
                <w:b/>
                <w:bCs/>
                <w:color w:val="000000"/>
                <w:sz w:val="18"/>
                <w:szCs w:val="18"/>
                <w:lang w:eastAsia="es-MX"/>
              </w:rPr>
            </w:pPr>
            <w:r w:rsidRPr="00073FD1">
              <w:rPr>
                <w:rFonts w:ascii="Calibri" w:hAnsi="Calibri" w:cs="Calibri"/>
                <w:color w:val="000000"/>
                <w:sz w:val="18"/>
                <w:szCs w:val="18"/>
              </w:rPr>
              <w:t>N/D</w:t>
            </w:r>
          </w:p>
        </w:tc>
      </w:tr>
      <w:tr w:rsidR="00ED038B" w:rsidRPr="00F1446C" w14:paraId="4FB35BEB" w14:textId="77777777" w:rsidTr="00ED038B">
        <w:trPr>
          <w:trHeight w:val="78"/>
          <w:jc w:val="center"/>
        </w:trPr>
        <w:tc>
          <w:tcPr>
            <w:tcW w:w="11767" w:type="dxa"/>
            <w:gridSpan w:val="6"/>
            <w:tcBorders>
              <w:top w:val="single" w:sz="4" w:space="0" w:color="auto"/>
            </w:tcBorders>
            <w:shd w:val="clear" w:color="auto" w:fill="auto"/>
            <w:noWrap/>
            <w:vAlign w:val="bottom"/>
          </w:tcPr>
          <w:p w14:paraId="7476850D" w14:textId="1C930E0F" w:rsidR="00ED038B" w:rsidRPr="00F1446C" w:rsidRDefault="00ED038B" w:rsidP="006904AD">
            <w:pPr>
              <w:spacing w:after="0" w:line="240" w:lineRule="auto"/>
              <w:rPr>
                <w:rFonts w:ascii="Calibri" w:eastAsia="Times New Roman" w:hAnsi="Calibri" w:cs="Times New Roman"/>
                <w:bCs/>
                <w:color w:val="000000"/>
                <w:sz w:val="14"/>
                <w:szCs w:val="16"/>
                <w:lang w:eastAsia="es-MX"/>
              </w:rPr>
            </w:pPr>
            <w:r w:rsidRPr="00F1446C">
              <w:rPr>
                <w:rFonts w:ascii="Calibri" w:eastAsia="Times New Roman" w:hAnsi="Calibri" w:cs="Times New Roman"/>
                <w:bCs/>
                <w:color w:val="000000"/>
                <w:sz w:val="14"/>
                <w:szCs w:val="16"/>
                <w:lang w:eastAsia="es-MX"/>
              </w:rPr>
              <w:t>* Conforme a la información publicada en 202</w:t>
            </w:r>
            <w:r w:rsidR="003303A2" w:rsidRPr="00F1446C">
              <w:rPr>
                <w:rFonts w:ascii="Calibri" w:eastAsia="Times New Roman" w:hAnsi="Calibri" w:cs="Times New Roman"/>
                <w:bCs/>
                <w:color w:val="000000"/>
                <w:sz w:val="14"/>
                <w:szCs w:val="16"/>
                <w:lang w:eastAsia="es-MX"/>
              </w:rPr>
              <w:t>1</w:t>
            </w:r>
            <w:r w:rsidRPr="00F1446C">
              <w:rPr>
                <w:rFonts w:ascii="Calibri" w:eastAsia="Times New Roman" w:hAnsi="Calibri" w:cs="Times New Roman"/>
                <w:bCs/>
                <w:color w:val="000000"/>
                <w:sz w:val="14"/>
                <w:szCs w:val="16"/>
                <w:lang w:eastAsia="es-MX"/>
              </w:rPr>
              <w:t xml:space="preserve"> en </w:t>
            </w:r>
            <w:r w:rsidRPr="00F1446C">
              <w:rPr>
                <w:rFonts w:ascii="Calibri" w:eastAsia="Times New Roman" w:hAnsi="Calibri" w:cs="Times New Roman"/>
                <w:bCs/>
                <w:i/>
                <w:iCs/>
                <w:color w:val="000000"/>
                <w:sz w:val="14"/>
                <w:szCs w:val="16"/>
                <w:lang w:eastAsia="es-MX"/>
              </w:rPr>
              <w:t>Clarivate Analytics</w:t>
            </w:r>
            <w:r w:rsidRPr="00F1446C">
              <w:rPr>
                <w:rFonts w:ascii="Calibri" w:eastAsia="Times New Roman" w:hAnsi="Calibri" w:cs="Times New Roman"/>
                <w:bCs/>
                <w:color w:val="000000"/>
                <w:sz w:val="14"/>
                <w:szCs w:val="16"/>
                <w:lang w:eastAsia="es-MX"/>
              </w:rPr>
              <w:t xml:space="preserve">: </w:t>
            </w:r>
            <w:hyperlink r:id="rId10" w:history="1">
              <w:r w:rsidRPr="00F1446C">
                <w:rPr>
                  <w:rStyle w:val="Hyperlink"/>
                  <w:rFonts w:ascii="Calibri" w:eastAsia="Times New Roman" w:hAnsi="Calibri" w:cs="Times New Roman"/>
                  <w:bCs/>
                  <w:sz w:val="14"/>
                  <w:szCs w:val="16"/>
                  <w:lang w:eastAsia="es-MX"/>
                </w:rPr>
                <w:t>https://recognition.webofscience.com/awards/highly-cited/2020/?utm_source=HCR&amp;utm_medium=recognition_page&amp;utm_campaign=2020</w:t>
              </w:r>
            </w:hyperlink>
            <w:r w:rsidRPr="00F1446C">
              <w:rPr>
                <w:rFonts w:ascii="Calibri" w:eastAsia="Times New Roman" w:hAnsi="Calibri" w:cs="Times New Roman"/>
                <w:bCs/>
                <w:color w:val="000000"/>
                <w:sz w:val="14"/>
                <w:szCs w:val="16"/>
                <w:lang w:eastAsia="es-MX"/>
              </w:rPr>
              <w:t xml:space="preserve"> </w:t>
            </w:r>
          </w:p>
          <w:p w14:paraId="01DB28A8" w14:textId="77777777" w:rsidR="00ED038B" w:rsidRPr="00F1446C" w:rsidRDefault="00ED038B" w:rsidP="006904AD">
            <w:pPr>
              <w:spacing w:after="0" w:line="240" w:lineRule="auto"/>
              <w:rPr>
                <w:rFonts w:ascii="Calibri" w:eastAsia="Times New Roman" w:hAnsi="Calibri" w:cs="Times New Roman"/>
                <w:bCs/>
                <w:color w:val="000000"/>
                <w:sz w:val="14"/>
                <w:szCs w:val="16"/>
                <w:lang w:eastAsia="es-MX"/>
              </w:rPr>
            </w:pPr>
            <w:r w:rsidRPr="00F1446C">
              <w:rPr>
                <w:rFonts w:ascii="Calibri" w:eastAsia="Times New Roman" w:hAnsi="Calibri" w:cs="Times New Roman"/>
                <w:bCs/>
                <w:color w:val="000000"/>
                <w:sz w:val="14"/>
                <w:szCs w:val="16"/>
                <w:lang w:eastAsia="es-MX"/>
              </w:rPr>
              <w:t>** N/D: Información no disponible.</w:t>
            </w:r>
          </w:p>
        </w:tc>
      </w:tr>
    </w:tbl>
    <w:p w14:paraId="62828CE0" w14:textId="456368EF" w:rsidR="00057906" w:rsidRPr="00F1446C" w:rsidRDefault="00057906" w:rsidP="00BC5FAF">
      <w:pPr>
        <w:spacing w:after="0" w:line="240" w:lineRule="auto"/>
        <w:jc w:val="both"/>
        <w:rPr>
          <w:sz w:val="24"/>
        </w:rPr>
      </w:pPr>
    </w:p>
    <w:p w14:paraId="75A99768" w14:textId="29F792AD" w:rsidR="00DE3136" w:rsidRPr="00F1446C" w:rsidRDefault="00DE3136" w:rsidP="00DE3136">
      <w:pPr>
        <w:spacing w:after="0" w:line="240" w:lineRule="auto"/>
        <w:rPr>
          <w:rFonts w:cstheme="minorHAnsi"/>
          <w:b/>
          <w:bCs/>
          <w:sz w:val="24"/>
          <w:szCs w:val="24"/>
        </w:rPr>
      </w:pPr>
      <w:r w:rsidRPr="00F1446C">
        <w:rPr>
          <w:rFonts w:cstheme="minorHAnsi"/>
          <w:b/>
          <w:bCs/>
          <w:sz w:val="24"/>
          <w:szCs w:val="24"/>
        </w:rPr>
        <w:t>Conclusiones</w:t>
      </w:r>
    </w:p>
    <w:p w14:paraId="06225916" w14:textId="77777777" w:rsidR="00DE3136" w:rsidRPr="00F1446C" w:rsidRDefault="00DE3136" w:rsidP="00DE3136">
      <w:pPr>
        <w:pStyle w:val="ListParagraph"/>
        <w:spacing w:after="0" w:line="240" w:lineRule="auto"/>
        <w:jc w:val="both"/>
        <w:rPr>
          <w:rFonts w:cstheme="minorHAnsi"/>
          <w:sz w:val="24"/>
          <w:szCs w:val="24"/>
        </w:rPr>
      </w:pPr>
    </w:p>
    <w:p w14:paraId="018FDBA9" w14:textId="77777777" w:rsidR="003E005A" w:rsidRPr="00F1446C" w:rsidRDefault="003E005A" w:rsidP="003E005A">
      <w:pPr>
        <w:pStyle w:val="ListParagraph"/>
        <w:numPr>
          <w:ilvl w:val="0"/>
          <w:numId w:val="2"/>
        </w:numPr>
        <w:spacing w:after="0" w:line="240" w:lineRule="auto"/>
        <w:jc w:val="both"/>
        <w:rPr>
          <w:rFonts w:cstheme="minorHAnsi"/>
          <w:sz w:val="24"/>
        </w:rPr>
      </w:pPr>
      <w:bookmarkStart w:id="3" w:name="_Hlk72862818"/>
      <w:bookmarkEnd w:id="0"/>
      <w:r w:rsidRPr="00F1446C">
        <w:rPr>
          <w:rFonts w:cstheme="minorHAnsi"/>
          <w:sz w:val="24"/>
          <w:szCs w:val="24"/>
        </w:rPr>
        <w:t xml:space="preserve">El </w:t>
      </w:r>
      <w:r w:rsidRPr="00F1446C">
        <w:rPr>
          <w:b/>
          <w:bCs/>
          <w:sz w:val="24"/>
        </w:rPr>
        <w:t>Ranking ARWU 2021</w:t>
      </w:r>
      <w:r w:rsidRPr="00F1446C">
        <w:rPr>
          <w:sz w:val="24"/>
        </w:rPr>
        <w:t xml:space="preserve"> </w:t>
      </w:r>
      <w:r w:rsidRPr="00F1446C">
        <w:rPr>
          <w:rFonts w:cstheme="minorHAnsi"/>
          <w:sz w:val="24"/>
          <w:szCs w:val="24"/>
        </w:rPr>
        <w:t xml:space="preserve">clasificó a </w:t>
      </w:r>
      <w:r w:rsidRPr="00F1446C">
        <w:rPr>
          <w:sz w:val="24"/>
        </w:rPr>
        <w:t xml:space="preserve">77 </w:t>
      </w:r>
      <w:r w:rsidRPr="00F1446C">
        <w:rPr>
          <w:rFonts w:cstheme="minorHAnsi"/>
          <w:sz w:val="24"/>
          <w:szCs w:val="24"/>
        </w:rPr>
        <w:t>universidades de Iberoamérica, de las cuales únicamente 2 son universidades mexicanas.</w:t>
      </w:r>
    </w:p>
    <w:p w14:paraId="06EA93C7" w14:textId="77777777" w:rsidR="003E005A" w:rsidRPr="00F1446C" w:rsidRDefault="003E005A" w:rsidP="003E005A">
      <w:pPr>
        <w:pStyle w:val="ListParagraph"/>
        <w:spacing w:after="0" w:line="240" w:lineRule="auto"/>
        <w:jc w:val="both"/>
        <w:rPr>
          <w:rFonts w:cstheme="minorHAnsi"/>
          <w:sz w:val="24"/>
        </w:rPr>
      </w:pPr>
    </w:p>
    <w:p w14:paraId="7033E14E" w14:textId="1A45B58E" w:rsidR="003E005A" w:rsidRPr="00F1446C" w:rsidRDefault="003E005A" w:rsidP="003E005A">
      <w:pPr>
        <w:pStyle w:val="ListParagraph"/>
        <w:numPr>
          <w:ilvl w:val="0"/>
          <w:numId w:val="2"/>
        </w:numPr>
        <w:spacing w:after="0" w:line="240" w:lineRule="auto"/>
        <w:jc w:val="both"/>
        <w:rPr>
          <w:rFonts w:cstheme="minorHAnsi"/>
          <w:sz w:val="24"/>
        </w:rPr>
      </w:pPr>
      <w:r w:rsidRPr="00F1446C">
        <w:rPr>
          <w:rFonts w:cstheme="minorHAnsi"/>
          <w:sz w:val="24"/>
          <w:szCs w:val="24"/>
        </w:rPr>
        <w:t xml:space="preserve">La UNAM fue </w:t>
      </w:r>
      <w:r w:rsidRPr="00F1446C">
        <w:rPr>
          <w:sz w:val="24"/>
        </w:rPr>
        <w:t xml:space="preserve">clasificada en el </w:t>
      </w:r>
      <w:r w:rsidRPr="008F0B2F">
        <w:rPr>
          <w:b/>
          <w:bCs/>
          <w:sz w:val="24"/>
        </w:rPr>
        <w:t>rango 201-300</w:t>
      </w:r>
      <w:r w:rsidRPr="00F1446C">
        <w:rPr>
          <w:sz w:val="24"/>
        </w:rPr>
        <w:t xml:space="preserve"> en el ranking. Sin embargo, conforme al cálculo estimado por la DGEI-UNAM le corresponde el </w:t>
      </w:r>
      <w:r w:rsidRPr="008F0B2F">
        <w:rPr>
          <w:b/>
          <w:bCs/>
          <w:sz w:val="24"/>
        </w:rPr>
        <w:t>lugar 253º</w:t>
      </w:r>
      <w:r w:rsidRPr="00F1446C">
        <w:rPr>
          <w:sz w:val="24"/>
        </w:rPr>
        <w:t xml:space="preserve"> (</w:t>
      </w:r>
      <w:r w:rsidR="00D80DC5">
        <w:rPr>
          <w:sz w:val="24"/>
        </w:rPr>
        <w:t xml:space="preserve">4º </w:t>
      </w:r>
      <w:r w:rsidR="00D80DC5" w:rsidRPr="00D80DC5">
        <w:rPr>
          <w:sz w:val="24"/>
        </w:rPr>
        <w:t>Iberoamérica</w:t>
      </w:r>
      <w:r w:rsidR="00413B2A">
        <w:rPr>
          <w:sz w:val="24"/>
        </w:rPr>
        <w:t>, 2</w:t>
      </w:r>
      <w:r w:rsidR="00413B2A" w:rsidRPr="00F1446C">
        <w:rPr>
          <w:sz w:val="24"/>
        </w:rPr>
        <w:t>º América Latina</w:t>
      </w:r>
      <w:r w:rsidRPr="00F1446C">
        <w:rPr>
          <w:sz w:val="24"/>
        </w:rPr>
        <w:t>).</w:t>
      </w:r>
    </w:p>
    <w:p w14:paraId="11575288" w14:textId="77777777" w:rsidR="003E005A" w:rsidRPr="00F1446C" w:rsidRDefault="003E005A" w:rsidP="003E005A">
      <w:pPr>
        <w:pStyle w:val="ListParagraph"/>
        <w:rPr>
          <w:rFonts w:cstheme="minorHAnsi"/>
          <w:sz w:val="24"/>
        </w:rPr>
      </w:pPr>
    </w:p>
    <w:p w14:paraId="0AADE51B" w14:textId="342E758C" w:rsidR="00583AC2" w:rsidRPr="00583AC2" w:rsidRDefault="003E005A" w:rsidP="00583AC2">
      <w:pPr>
        <w:pStyle w:val="ListParagraph"/>
        <w:numPr>
          <w:ilvl w:val="0"/>
          <w:numId w:val="2"/>
        </w:numPr>
        <w:spacing w:after="0" w:line="240" w:lineRule="auto"/>
        <w:jc w:val="both"/>
        <w:rPr>
          <w:rFonts w:cstheme="minorHAnsi"/>
          <w:sz w:val="24"/>
        </w:rPr>
      </w:pPr>
      <w:r w:rsidRPr="00F1446C">
        <w:rPr>
          <w:sz w:val="24"/>
        </w:rPr>
        <w:t xml:space="preserve">La UNAM mejoró su </w:t>
      </w:r>
      <w:r>
        <w:rPr>
          <w:sz w:val="24"/>
        </w:rPr>
        <w:t xml:space="preserve">desempeño </w:t>
      </w:r>
      <w:r w:rsidRPr="00F1446C">
        <w:rPr>
          <w:sz w:val="24"/>
        </w:rPr>
        <w:t xml:space="preserve">en </w:t>
      </w:r>
      <w:r w:rsidR="00DD271C">
        <w:rPr>
          <w:sz w:val="24"/>
        </w:rPr>
        <w:t>d</w:t>
      </w:r>
      <w:r w:rsidRPr="00F1446C">
        <w:rPr>
          <w:sz w:val="24"/>
        </w:rPr>
        <w:t xml:space="preserve">os indicadores </w:t>
      </w:r>
      <w:r w:rsidR="00583AC2">
        <w:rPr>
          <w:sz w:val="24"/>
        </w:rPr>
        <w:t xml:space="preserve">al obtener </w:t>
      </w:r>
      <w:r w:rsidR="00583AC2" w:rsidRPr="00583AC2">
        <w:rPr>
          <w:sz w:val="24"/>
        </w:rPr>
        <w:t>22.1</w:t>
      </w:r>
      <w:r w:rsidR="00583AC2">
        <w:rPr>
          <w:sz w:val="24"/>
        </w:rPr>
        <w:t xml:space="preserve"> puntos en el rubro de </w:t>
      </w:r>
      <w:r>
        <w:rPr>
          <w:b/>
          <w:bCs/>
          <w:sz w:val="24"/>
        </w:rPr>
        <w:t>PCP</w:t>
      </w:r>
      <w:r w:rsidR="00DD271C">
        <w:rPr>
          <w:b/>
          <w:bCs/>
          <w:sz w:val="24"/>
        </w:rPr>
        <w:t>,</w:t>
      </w:r>
      <w:r w:rsidR="00583AC2">
        <w:rPr>
          <w:sz w:val="24"/>
        </w:rPr>
        <w:t xml:space="preserve"> que considera la p</w:t>
      </w:r>
      <w:r w:rsidR="00583AC2" w:rsidRPr="00583AC2">
        <w:rPr>
          <w:sz w:val="24"/>
        </w:rPr>
        <w:t xml:space="preserve">roducción académica con respecto al tamaño de </w:t>
      </w:r>
      <w:r w:rsidR="00583AC2">
        <w:rPr>
          <w:sz w:val="24"/>
        </w:rPr>
        <w:t>la universidad</w:t>
      </w:r>
      <w:r w:rsidRPr="00F1446C">
        <w:rPr>
          <w:sz w:val="24"/>
        </w:rPr>
        <w:t xml:space="preserve">, </w:t>
      </w:r>
      <w:r>
        <w:rPr>
          <w:sz w:val="24"/>
        </w:rPr>
        <w:t xml:space="preserve">y </w:t>
      </w:r>
      <w:r w:rsidR="00583AC2" w:rsidRPr="00583AC2">
        <w:rPr>
          <w:sz w:val="24"/>
        </w:rPr>
        <w:t xml:space="preserve">53.9 </w:t>
      </w:r>
      <w:r w:rsidRPr="00F1446C">
        <w:rPr>
          <w:sz w:val="24"/>
        </w:rPr>
        <w:t>puntos</w:t>
      </w:r>
      <w:r w:rsidR="00583AC2">
        <w:rPr>
          <w:sz w:val="24"/>
        </w:rPr>
        <w:t xml:space="preserve"> en </w:t>
      </w:r>
      <w:r w:rsidR="00583AC2" w:rsidRPr="00583AC2">
        <w:rPr>
          <w:b/>
          <w:bCs/>
          <w:sz w:val="24"/>
        </w:rPr>
        <w:t>PUB</w:t>
      </w:r>
      <w:r w:rsidR="00DD271C">
        <w:rPr>
          <w:b/>
          <w:bCs/>
          <w:sz w:val="24"/>
        </w:rPr>
        <w:t>,</w:t>
      </w:r>
      <w:r w:rsidR="00583AC2">
        <w:rPr>
          <w:sz w:val="24"/>
        </w:rPr>
        <w:t xml:space="preserve"> que considera los a</w:t>
      </w:r>
      <w:r w:rsidR="00583AC2" w:rsidRPr="00583AC2">
        <w:rPr>
          <w:rFonts w:cstheme="minorHAnsi"/>
          <w:sz w:val="24"/>
        </w:rPr>
        <w:t>rtículos indexados en SCIE</w:t>
      </w:r>
      <w:r w:rsidR="00583AC2">
        <w:rPr>
          <w:rStyle w:val="FootnoteReference"/>
          <w:rFonts w:cstheme="minorHAnsi"/>
          <w:sz w:val="24"/>
        </w:rPr>
        <w:footnoteReference w:id="3"/>
      </w:r>
      <w:r w:rsidR="00583AC2" w:rsidRPr="00583AC2">
        <w:rPr>
          <w:rFonts w:cstheme="minorHAnsi"/>
          <w:sz w:val="24"/>
        </w:rPr>
        <w:t xml:space="preserve"> y el SSCI</w:t>
      </w:r>
      <w:r w:rsidR="00583AC2">
        <w:rPr>
          <w:rStyle w:val="FootnoteReference"/>
          <w:rFonts w:cstheme="minorHAnsi"/>
          <w:sz w:val="24"/>
        </w:rPr>
        <w:footnoteReference w:id="4"/>
      </w:r>
      <w:r w:rsidR="00583AC2">
        <w:rPr>
          <w:rFonts w:cstheme="minorHAnsi"/>
          <w:sz w:val="24"/>
        </w:rPr>
        <w:t>.</w:t>
      </w:r>
    </w:p>
    <w:p w14:paraId="212AA273" w14:textId="77777777" w:rsidR="003E005A" w:rsidRPr="00F1446C" w:rsidRDefault="003E005A" w:rsidP="003E005A">
      <w:pPr>
        <w:pStyle w:val="ListParagraph"/>
        <w:rPr>
          <w:rFonts w:cstheme="minorHAnsi"/>
          <w:sz w:val="24"/>
        </w:rPr>
      </w:pPr>
    </w:p>
    <w:bookmarkEnd w:id="3"/>
    <w:p w14:paraId="7BA6DD08" w14:textId="3EC9365E" w:rsidR="003E005A" w:rsidRPr="00583AC2" w:rsidRDefault="003E005A" w:rsidP="003E005A">
      <w:pPr>
        <w:pStyle w:val="ListParagraph"/>
        <w:numPr>
          <w:ilvl w:val="0"/>
          <w:numId w:val="2"/>
        </w:numPr>
        <w:spacing w:after="0" w:line="240" w:lineRule="auto"/>
        <w:jc w:val="both"/>
        <w:rPr>
          <w:sz w:val="24"/>
          <w:szCs w:val="24"/>
        </w:rPr>
      </w:pPr>
      <w:r>
        <w:rPr>
          <w:rFonts w:cstheme="minorHAnsi"/>
          <w:sz w:val="24"/>
          <w:szCs w:val="24"/>
        </w:rPr>
        <w:t xml:space="preserve">En los indicadores de </w:t>
      </w:r>
      <w:r w:rsidRPr="00F1446C">
        <w:rPr>
          <w:b/>
          <w:bCs/>
          <w:sz w:val="24"/>
          <w:szCs w:val="24"/>
        </w:rPr>
        <w:t>Award</w:t>
      </w:r>
      <w:r w:rsidRPr="00F1446C">
        <w:rPr>
          <w:sz w:val="24"/>
          <w:szCs w:val="24"/>
        </w:rPr>
        <w:t xml:space="preserve"> </w:t>
      </w:r>
      <w:r w:rsidR="00583AC2">
        <w:rPr>
          <w:sz w:val="24"/>
          <w:szCs w:val="24"/>
        </w:rPr>
        <w:t>(</w:t>
      </w:r>
      <w:r w:rsidR="007F68E8">
        <w:rPr>
          <w:sz w:val="24"/>
          <w:szCs w:val="24"/>
        </w:rPr>
        <w:t>Académicos g</w:t>
      </w:r>
      <w:r w:rsidR="00583AC2">
        <w:rPr>
          <w:sz w:val="24"/>
          <w:szCs w:val="24"/>
        </w:rPr>
        <w:t>anadores de Premio Nobel y/o Medalla Fields)</w:t>
      </w:r>
      <w:r w:rsidR="00CC2728">
        <w:rPr>
          <w:sz w:val="24"/>
          <w:szCs w:val="24"/>
        </w:rPr>
        <w:t xml:space="preserve"> </w:t>
      </w:r>
      <w:r w:rsidRPr="00F1446C">
        <w:rPr>
          <w:sz w:val="24"/>
          <w:szCs w:val="24"/>
        </w:rPr>
        <w:t xml:space="preserve">y </w:t>
      </w:r>
      <w:r w:rsidRPr="00F1446C">
        <w:rPr>
          <w:b/>
          <w:bCs/>
          <w:sz w:val="24"/>
          <w:szCs w:val="24"/>
        </w:rPr>
        <w:t>HiCi</w:t>
      </w:r>
      <w:r w:rsidR="00583AC2">
        <w:rPr>
          <w:b/>
          <w:bCs/>
          <w:sz w:val="24"/>
          <w:szCs w:val="24"/>
        </w:rPr>
        <w:t xml:space="preserve"> </w:t>
      </w:r>
      <w:r w:rsidR="00583AC2" w:rsidRPr="00583AC2">
        <w:rPr>
          <w:sz w:val="24"/>
          <w:szCs w:val="24"/>
        </w:rPr>
        <w:t>(</w:t>
      </w:r>
      <w:r w:rsidR="00583AC2">
        <w:rPr>
          <w:sz w:val="24"/>
          <w:szCs w:val="24"/>
        </w:rPr>
        <w:t xml:space="preserve">Investigadores altamente citados en </w:t>
      </w:r>
      <w:r w:rsidR="00583AC2" w:rsidRPr="00583AC2">
        <w:rPr>
          <w:i/>
          <w:iCs/>
          <w:sz w:val="24"/>
          <w:szCs w:val="24"/>
        </w:rPr>
        <w:t>Clarivate Analytics</w:t>
      </w:r>
      <w:r w:rsidR="00583AC2" w:rsidRPr="00583AC2">
        <w:rPr>
          <w:sz w:val="24"/>
          <w:szCs w:val="24"/>
        </w:rPr>
        <w:t xml:space="preserve">) </w:t>
      </w:r>
      <w:r w:rsidRPr="00583AC2">
        <w:rPr>
          <w:sz w:val="24"/>
          <w:szCs w:val="24"/>
        </w:rPr>
        <w:t>no se le asign</w:t>
      </w:r>
      <w:r w:rsidR="00A74B58">
        <w:rPr>
          <w:sz w:val="24"/>
          <w:szCs w:val="24"/>
        </w:rPr>
        <w:t>ó</w:t>
      </w:r>
      <w:r w:rsidRPr="00583AC2">
        <w:rPr>
          <w:sz w:val="24"/>
          <w:szCs w:val="24"/>
        </w:rPr>
        <w:t xml:space="preserve"> un puntaje.</w:t>
      </w:r>
    </w:p>
    <w:p w14:paraId="4B7A7225" w14:textId="77777777" w:rsidR="003E005A" w:rsidRPr="00E72CCB" w:rsidRDefault="003E005A" w:rsidP="003E005A">
      <w:pPr>
        <w:pStyle w:val="ListParagraph"/>
        <w:spacing w:after="0" w:line="240" w:lineRule="auto"/>
        <w:jc w:val="both"/>
        <w:rPr>
          <w:rFonts w:cstheme="minorHAnsi"/>
          <w:sz w:val="24"/>
          <w:szCs w:val="24"/>
        </w:rPr>
      </w:pPr>
    </w:p>
    <w:p w14:paraId="56F64616" w14:textId="283BA3C1" w:rsidR="00127148" w:rsidRPr="007F68E8" w:rsidRDefault="003E005A" w:rsidP="00127FAC">
      <w:pPr>
        <w:pStyle w:val="ListParagraph"/>
        <w:numPr>
          <w:ilvl w:val="0"/>
          <w:numId w:val="2"/>
        </w:numPr>
        <w:spacing w:after="0" w:line="240" w:lineRule="auto"/>
        <w:jc w:val="both"/>
        <w:rPr>
          <w:sz w:val="24"/>
          <w:szCs w:val="24"/>
        </w:rPr>
      </w:pPr>
      <w:r w:rsidRPr="007F68E8">
        <w:rPr>
          <w:rFonts w:cstheme="minorHAnsi"/>
          <w:sz w:val="24"/>
          <w:szCs w:val="24"/>
        </w:rPr>
        <w:t xml:space="preserve">Finalmente, se presentó un decremento </w:t>
      </w:r>
      <w:r w:rsidR="007F68E8" w:rsidRPr="007F68E8">
        <w:rPr>
          <w:rFonts w:cstheme="minorHAnsi"/>
          <w:sz w:val="24"/>
          <w:szCs w:val="24"/>
        </w:rPr>
        <w:t xml:space="preserve">al obtener un puntaje de 11.9 en </w:t>
      </w:r>
      <w:r w:rsidRPr="007F68E8">
        <w:rPr>
          <w:rFonts w:cstheme="minorHAnsi"/>
          <w:b/>
          <w:bCs/>
          <w:sz w:val="24"/>
          <w:szCs w:val="24"/>
        </w:rPr>
        <w:t>Alumni</w:t>
      </w:r>
      <w:r w:rsidR="007F68E8" w:rsidRPr="007F68E8">
        <w:rPr>
          <w:rFonts w:cstheme="minorHAnsi"/>
          <w:sz w:val="24"/>
          <w:szCs w:val="24"/>
        </w:rPr>
        <w:t xml:space="preserve"> (Alumnos ganadores de Premio Nobel y/o Medalla Fields)</w:t>
      </w:r>
      <w:r w:rsidRPr="007F68E8">
        <w:rPr>
          <w:rFonts w:cstheme="minorHAnsi"/>
          <w:sz w:val="24"/>
          <w:szCs w:val="24"/>
        </w:rPr>
        <w:t xml:space="preserve">, y </w:t>
      </w:r>
      <w:r w:rsidR="007F68E8" w:rsidRPr="007F68E8">
        <w:rPr>
          <w:rFonts w:cstheme="minorHAnsi"/>
          <w:sz w:val="24"/>
          <w:szCs w:val="24"/>
        </w:rPr>
        <w:t xml:space="preserve">11.4 puntos en </w:t>
      </w:r>
      <w:r w:rsidRPr="007F68E8">
        <w:rPr>
          <w:rFonts w:cstheme="minorHAnsi"/>
          <w:b/>
          <w:bCs/>
          <w:sz w:val="24"/>
          <w:szCs w:val="24"/>
        </w:rPr>
        <w:t>N&amp;S</w:t>
      </w:r>
      <w:r w:rsidR="007F68E8" w:rsidRPr="007F68E8">
        <w:rPr>
          <w:rFonts w:cstheme="minorHAnsi"/>
          <w:sz w:val="24"/>
          <w:szCs w:val="24"/>
        </w:rPr>
        <w:t xml:space="preserve"> (Artículos publicados en las revistas</w:t>
      </w:r>
      <w:r w:rsidR="007F68E8" w:rsidRPr="007F68E8">
        <w:rPr>
          <w:rFonts w:cstheme="minorHAnsi"/>
          <w:i/>
          <w:iCs/>
          <w:sz w:val="24"/>
          <w:szCs w:val="24"/>
        </w:rPr>
        <w:t xml:space="preserve"> Nature</w:t>
      </w:r>
      <w:r w:rsidR="007F68E8" w:rsidRPr="007F68E8">
        <w:rPr>
          <w:rFonts w:cstheme="minorHAnsi"/>
          <w:sz w:val="24"/>
          <w:szCs w:val="24"/>
        </w:rPr>
        <w:t xml:space="preserve"> y </w:t>
      </w:r>
      <w:r w:rsidR="007F68E8" w:rsidRPr="007F68E8">
        <w:rPr>
          <w:rFonts w:cstheme="minorHAnsi"/>
          <w:i/>
          <w:iCs/>
          <w:sz w:val="24"/>
          <w:szCs w:val="24"/>
        </w:rPr>
        <w:t>Science</w:t>
      </w:r>
      <w:r w:rsidR="007F68E8" w:rsidRPr="007F68E8">
        <w:rPr>
          <w:rFonts w:cstheme="minorHAnsi"/>
          <w:sz w:val="24"/>
          <w:szCs w:val="24"/>
        </w:rPr>
        <w:t>)</w:t>
      </w:r>
      <w:r w:rsidRPr="007F68E8">
        <w:rPr>
          <w:rFonts w:cstheme="minorHAnsi"/>
          <w:sz w:val="24"/>
          <w:szCs w:val="24"/>
        </w:rPr>
        <w:t>.</w:t>
      </w:r>
    </w:p>
    <w:sectPr w:rsidR="00127148" w:rsidRPr="007F68E8">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7DD4" w14:textId="77777777" w:rsidR="00EB3727" w:rsidRDefault="00EB3727" w:rsidP="00C41170">
      <w:pPr>
        <w:spacing w:after="0" w:line="240" w:lineRule="auto"/>
      </w:pPr>
      <w:r>
        <w:separator/>
      </w:r>
    </w:p>
  </w:endnote>
  <w:endnote w:type="continuationSeparator" w:id="0">
    <w:p w14:paraId="594F144F" w14:textId="77777777" w:rsidR="00EB3727" w:rsidRDefault="00EB3727" w:rsidP="00C4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814850"/>
      <w:docPartObj>
        <w:docPartGallery w:val="Page Numbers (Bottom of Page)"/>
        <w:docPartUnique/>
      </w:docPartObj>
    </w:sdtPr>
    <w:sdtEndPr/>
    <w:sdtContent>
      <w:p w14:paraId="10664E55" w14:textId="7EDB3E69" w:rsidR="003E314C" w:rsidRDefault="003E314C">
        <w:pPr>
          <w:pStyle w:val="Footer"/>
          <w:jc w:val="right"/>
        </w:pPr>
        <w:r>
          <w:fldChar w:fldCharType="begin"/>
        </w:r>
        <w:r>
          <w:instrText>PAGE   \* MERGEFORMAT</w:instrText>
        </w:r>
        <w:r>
          <w:fldChar w:fldCharType="separate"/>
        </w:r>
        <w:r w:rsidR="00CA62EC" w:rsidRPr="00CA62EC">
          <w:rPr>
            <w:noProof/>
            <w:lang w:val="es-ES"/>
          </w:rPr>
          <w:t>6</w:t>
        </w:r>
        <w:r>
          <w:fldChar w:fldCharType="end"/>
        </w:r>
      </w:p>
    </w:sdtContent>
  </w:sdt>
  <w:p w14:paraId="617AEB67" w14:textId="77777777" w:rsidR="003E314C" w:rsidRDefault="003E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5B34" w14:textId="77777777" w:rsidR="00EB3727" w:rsidRDefault="00EB3727" w:rsidP="00C41170">
      <w:pPr>
        <w:spacing w:after="0" w:line="240" w:lineRule="auto"/>
      </w:pPr>
      <w:r>
        <w:separator/>
      </w:r>
    </w:p>
  </w:footnote>
  <w:footnote w:type="continuationSeparator" w:id="0">
    <w:p w14:paraId="23C18136" w14:textId="77777777" w:rsidR="00EB3727" w:rsidRDefault="00EB3727" w:rsidP="00C41170">
      <w:pPr>
        <w:spacing w:after="0" w:line="240" w:lineRule="auto"/>
      </w:pPr>
      <w:r>
        <w:continuationSeparator/>
      </w:r>
    </w:p>
  </w:footnote>
  <w:footnote w:id="1">
    <w:p w14:paraId="04E966FB" w14:textId="77777777" w:rsidR="00127A4E" w:rsidRPr="009A770C" w:rsidRDefault="00127A4E" w:rsidP="00127A4E">
      <w:pPr>
        <w:pStyle w:val="FootnoteText"/>
      </w:pPr>
      <w:r>
        <w:rPr>
          <w:rStyle w:val="FootnoteReference"/>
        </w:rPr>
        <w:footnoteRef/>
      </w:r>
      <w:r w:rsidRPr="009A770C">
        <w:t xml:space="preserve"> </w:t>
      </w:r>
      <w:r w:rsidRPr="009A770C">
        <w:rPr>
          <w:sz w:val="16"/>
        </w:rPr>
        <w:t>Disponible en: https://hcr.clarivate.com</w:t>
      </w:r>
    </w:p>
  </w:footnote>
  <w:footnote w:id="2">
    <w:p w14:paraId="69745DD4" w14:textId="61C29D8C" w:rsidR="00EB2F8E" w:rsidRDefault="00EB2F8E">
      <w:pPr>
        <w:pStyle w:val="FootnoteText"/>
      </w:pPr>
      <w:r>
        <w:rPr>
          <w:rStyle w:val="FootnoteReference"/>
        </w:rPr>
        <w:footnoteRef/>
      </w:r>
      <w:r>
        <w:t xml:space="preserve"> Se asigna una ponderación del </w:t>
      </w:r>
      <w:r w:rsidRPr="00EB2F8E">
        <w:t xml:space="preserve">100% </w:t>
      </w:r>
      <w:r>
        <w:t xml:space="preserve">a </w:t>
      </w:r>
      <w:r w:rsidRPr="00EB2F8E">
        <w:t xml:space="preserve">los ganadores </w:t>
      </w:r>
      <w:r>
        <w:t xml:space="preserve">entre </w:t>
      </w:r>
      <w:r w:rsidRPr="00EB2F8E">
        <w:t>2011</w:t>
      </w:r>
      <w:r>
        <w:t xml:space="preserve"> y 2020</w:t>
      </w:r>
      <w:r w:rsidRPr="00EB2F8E">
        <w:t xml:space="preserve">, del 90% </w:t>
      </w:r>
      <w:r>
        <w:t xml:space="preserve">entre </w:t>
      </w:r>
      <w:r w:rsidRPr="00EB2F8E">
        <w:t>2001</w:t>
      </w:r>
      <w:r>
        <w:t xml:space="preserve"> y </w:t>
      </w:r>
      <w:r w:rsidRPr="00EB2F8E">
        <w:t xml:space="preserve">2010, del 80% </w:t>
      </w:r>
      <w:r>
        <w:t xml:space="preserve">entre </w:t>
      </w:r>
      <w:r w:rsidRPr="00EB2F8E">
        <w:t>1991</w:t>
      </w:r>
      <w:r>
        <w:t xml:space="preserve"> y </w:t>
      </w:r>
      <w:r w:rsidRPr="00EB2F8E">
        <w:t xml:space="preserve">2000, del 70% </w:t>
      </w:r>
      <w:r>
        <w:t xml:space="preserve">entre </w:t>
      </w:r>
      <w:r w:rsidRPr="00EB2F8E">
        <w:t>1981</w:t>
      </w:r>
      <w:r>
        <w:t xml:space="preserve"> y </w:t>
      </w:r>
      <w:r w:rsidRPr="00EB2F8E">
        <w:t xml:space="preserve">1990, etc., y finalmente del 10% para los ganadores </w:t>
      </w:r>
      <w:r>
        <w:t>entre 1930 y 1921</w:t>
      </w:r>
      <w:r w:rsidRPr="00EB2F8E">
        <w:t>.</w:t>
      </w:r>
    </w:p>
  </w:footnote>
  <w:footnote w:id="3">
    <w:p w14:paraId="0C329242" w14:textId="297CD72E" w:rsidR="00583AC2" w:rsidRPr="00BA270A" w:rsidRDefault="00583AC2">
      <w:pPr>
        <w:pStyle w:val="FootnoteText"/>
        <w:rPr>
          <w:lang w:val="en-US"/>
        </w:rPr>
      </w:pPr>
      <w:r>
        <w:rPr>
          <w:rStyle w:val="FootnoteReference"/>
        </w:rPr>
        <w:footnoteRef/>
      </w:r>
      <w:r w:rsidRPr="00BA270A">
        <w:rPr>
          <w:lang w:val="en-US"/>
        </w:rPr>
        <w:t xml:space="preserve"> Science Citation Index-Expanded.</w:t>
      </w:r>
    </w:p>
  </w:footnote>
  <w:footnote w:id="4">
    <w:p w14:paraId="1C9C5BBD" w14:textId="215BDA81" w:rsidR="00583AC2" w:rsidRPr="00BA270A" w:rsidRDefault="00583AC2">
      <w:pPr>
        <w:pStyle w:val="FootnoteText"/>
        <w:rPr>
          <w:lang w:val="en-US"/>
        </w:rPr>
      </w:pPr>
      <w:r>
        <w:rPr>
          <w:rStyle w:val="FootnoteReference"/>
        </w:rPr>
        <w:footnoteRef/>
      </w:r>
      <w:r w:rsidRPr="00BA270A">
        <w:rPr>
          <w:lang w:val="en-US"/>
        </w:rPr>
        <w:t xml:space="preserve"> Social Science Citation 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EEA"/>
    <w:multiLevelType w:val="hybridMultilevel"/>
    <w:tmpl w:val="BC2EE5BE"/>
    <w:lvl w:ilvl="0" w:tplc="45D0B154">
      <w:start w:val="1"/>
      <w:numFmt w:val="lowerLetter"/>
      <w:lvlText w:val="%1)"/>
      <w:lvlJc w:val="left"/>
      <w:pPr>
        <w:ind w:left="720" w:hanging="360"/>
      </w:pPr>
      <w:rPr>
        <w:b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A369B"/>
    <w:multiLevelType w:val="hybridMultilevel"/>
    <w:tmpl w:val="AD4CDE4A"/>
    <w:lvl w:ilvl="0" w:tplc="72083D7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2563A5"/>
    <w:multiLevelType w:val="hybridMultilevel"/>
    <w:tmpl w:val="D5BAEC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B06B06"/>
    <w:multiLevelType w:val="hybridMultilevel"/>
    <w:tmpl w:val="BFE8A868"/>
    <w:lvl w:ilvl="0" w:tplc="45D0B15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124999"/>
    <w:multiLevelType w:val="hybridMultilevel"/>
    <w:tmpl w:val="C798C256"/>
    <w:lvl w:ilvl="0" w:tplc="CFA45F60">
      <w:start w:val="1"/>
      <w:numFmt w:val="decimal"/>
      <w:lvlText w:val="%1."/>
      <w:lvlJc w:val="left"/>
      <w:pPr>
        <w:ind w:left="720" w:hanging="360"/>
      </w:pPr>
      <w:rPr>
        <w:b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333416"/>
    <w:multiLevelType w:val="hybridMultilevel"/>
    <w:tmpl w:val="11703238"/>
    <w:lvl w:ilvl="0" w:tplc="080A0019">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7"/>
    <w:rsid w:val="0000031D"/>
    <w:rsid w:val="00002113"/>
    <w:rsid w:val="00002ACD"/>
    <w:rsid w:val="000039F7"/>
    <w:rsid w:val="00004230"/>
    <w:rsid w:val="00004E64"/>
    <w:rsid w:val="000067A0"/>
    <w:rsid w:val="00012F03"/>
    <w:rsid w:val="0001470E"/>
    <w:rsid w:val="0001525B"/>
    <w:rsid w:val="00015D20"/>
    <w:rsid w:val="0001703A"/>
    <w:rsid w:val="00017FB2"/>
    <w:rsid w:val="0002034B"/>
    <w:rsid w:val="0002187F"/>
    <w:rsid w:val="00023B74"/>
    <w:rsid w:val="00026805"/>
    <w:rsid w:val="0003232C"/>
    <w:rsid w:val="00034700"/>
    <w:rsid w:val="00035DE6"/>
    <w:rsid w:val="0004030C"/>
    <w:rsid w:val="00044797"/>
    <w:rsid w:val="00045865"/>
    <w:rsid w:val="00046788"/>
    <w:rsid w:val="000473B6"/>
    <w:rsid w:val="000474A6"/>
    <w:rsid w:val="00055756"/>
    <w:rsid w:val="00057906"/>
    <w:rsid w:val="00057B68"/>
    <w:rsid w:val="00060114"/>
    <w:rsid w:val="00071BB5"/>
    <w:rsid w:val="00072632"/>
    <w:rsid w:val="00072ABC"/>
    <w:rsid w:val="00073FD1"/>
    <w:rsid w:val="0007480F"/>
    <w:rsid w:val="00074E86"/>
    <w:rsid w:val="00075A4F"/>
    <w:rsid w:val="00082B77"/>
    <w:rsid w:val="00082C39"/>
    <w:rsid w:val="00085BF4"/>
    <w:rsid w:val="00086391"/>
    <w:rsid w:val="00091807"/>
    <w:rsid w:val="00094CC2"/>
    <w:rsid w:val="00095E29"/>
    <w:rsid w:val="000A62C9"/>
    <w:rsid w:val="000B16D8"/>
    <w:rsid w:val="000B2153"/>
    <w:rsid w:val="000B2479"/>
    <w:rsid w:val="000B3CEF"/>
    <w:rsid w:val="000B449C"/>
    <w:rsid w:val="000B4DC5"/>
    <w:rsid w:val="000B7132"/>
    <w:rsid w:val="000B7851"/>
    <w:rsid w:val="000C31AF"/>
    <w:rsid w:val="000C31EF"/>
    <w:rsid w:val="000C372D"/>
    <w:rsid w:val="000C39A8"/>
    <w:rsid w:val="000C3D13"/>
    <w:rsid w:val="000C4129"/>
    <w:rsid w:val="000C6A1B"/>
    <w:rsid w:val="000D0015"/>
    <w:rsid w:val="000D3A90"/>
    <w:rsid w:val="000E06F7"/>
    <w:rsid w:val="000E3D1A"/>
    <w:rsid w:val="000E4209"/>
    <w:rsid w:val="000E5282"/>
    <w:rsid w:val="000E7484"/>
    <w:rsid w:val="000F1734"/>
    <w:rsid w:val="000F375D"/>
    <w:rsid w:val="000F3986"/>
    <w:rsid w:val="000F3B73"/>
    <w:rsid w:val="000F4CD8"/>
    <w:rsid w:val="000F6C59"/>
    <w:rsid w:val="00101278"/>
    <w:rsid w:val="001114B1"/>
    <w:rsid w:val="001117A2"/>
    <w:rsid w:val="001123A3"/>
    <w:rsid w:val="00113BB8"/>
    <w:rsid w:val="001156D9"/>
    <w:rsid w:val="00115F64"/>
    <w:rsid w:val="00116071"/>
    <w:rsid w:val="00116660"/>
    <w:rsid w:val="00117E01"/>
    <w:rsid w:val="00120F8F"/>
    <w:rsid w:val="001217F8"/>
    <w:rsid w:val="00121CF4"/>
    <w:rsid w:val="00121ECB"/>
    <w:rsid w:val="00122C34"/>
    <w:rsid w:val="001265D0"/>
    <w:rsid w:val="00127148"/>
    <w:rsid w:val="00127A4E"/>
    <w:rsid w:val="001329FA"/>
    <w:rsid w:val="00135B1D"/>
    <w:rsid w:val="00143F7E"/>
    <w:rsid w:val="0014458B"/>
    <w:rsid w:val="00146B2D"/>
    <w:rsid w:val="0014790D"/>
    <w:rsid w:val="001511A2"/>
    <w:rsid w:val="001535EA"/>
    <w:rsid w:val="00155A81"/>
    <w:rsid w:val="001609FF"/>
    <w:rsid w:val="00162FFD"/>
    <w:rsid w:val="001657A8"/>
    <w:rsid w:val="00165A69"/>
    <w:rsid w:val="00171B01"/>
    <w:rsid w:val="0017347C"/>
    <w:rsid w:val="00174649"/>
    <w:rsid w:val="00174CEC"/>
    <w:rsid w:val="0017723B"/>
    <w:rsid w:val="001775AD"/>
    <w:rsid w:val="001804DB"/>
    <w:rsid w:val="00180D43"/>
    <w:rsid w:val="001851A0"/>
    <w:rsid w:val="001863AC"/>
    <w:rsid w:val="0018722F"/>
    <w:rsid w:val="0019108C"/>
    <w:rsid w:val="00191C7B"/>
    <w:rsid w:val="00192B59"/>
    <w:rsid w:val="00193412"/>
    <w:rsid w:val="00193DF7"/>
    <w:rsid w:val="001946B8"/>
    <w:rsid w:val="00197D17"/>
    <w:rsid w:val="001A0C3B"/>
    <w:rsid w:val="001A0EF5"/>
    <w:rsid w:val="001A1209"/>
    <w:rsid w:val="001A286B"/>
    <w:rsid w:val="001A3875"/>
    <w:rsid w:val="001A6B42"/>
    <w:rsid w:val="001B0A9B"/>
    <w:rsid w:val="001B1B9A"/>
    <w:rsid w:val="001B2117"/>
    <w:rsid w:val="001B34B1"/>
    <w:rsid w:val="001B4439"/>
    <w:rsid w:val="001B70F9"/>
    <w:rsid w:val="001C3AD0"/>
    <w:rsid w:val="001C74C7"/>
    <w:rsid w:val="001C75B8"/>
    <w:rsid w:val="001D0ADE"/>
    <w:rsid w:val="001D1087"/>
    <w:rsid w:val="001D1F74"/>
    <w:rsid w:val="001D5EBD"/>
    <w:rsid w:val="001E7717"/>
    <w:rsid w:val="001F287E"/>
    <w:rsid w:val="001F34B2"/>
    <w:rsid w:val="001F40CD"/>
    <w:rsid w:val="001F507B"/>
    <w:rsid w:val="00200345"/>
    <w:rsid w:val="00200691"/>
    <w:rsid w:val="0020072D"/>
    <w:rsid w:val="00202ADD"/>
    <w:rsid w:val="00202DB0"/>
    <w:rsid w:val="0020439F"/>
    <w:rsid w:val="00207527"/>
    <w:rsid w:val="00223206"/>
    <w:rsid w:val="00223B0D"/>
    <w:rsid w:val="002245E8"/>
    <w:rsid w:val="00225830"/>
    <w:rsid w:val="00225EE8"/>
    <w:rsid w:val="002269EB"/>
    <w:rsid w:val="00227B88"/>
    <w:rsid w:val="002322D6"/>
    <w:rsid w:val="00232FC6"/>
    <w:rsid w:val="0023315E"/>
    <w:rsid w:val="00234D0C"/>
    <w:rsid w:val="00242112"/>
    <w:rsid w:val="00245DE0"/>
    <w:rsid w:val="002473DE"/>
    <w:rsid w:val="00252A66"/>
    <w:rsid w:val="00253C38"/>
    <w:rsid w:val="0025731B"/>
    <w:rsid w:val="002610F1"/>
    <w:rsid w:val="00263540"/>
    <w:rsid w:val="00265B43"/>
    <w:rsid w:val="002672E8"/>
    <w:rsid w:val="00270191"/>
    <w:rsid w:val="00272C86"/>
    <w:rsid w:val="002739B6"/>
    <w:rsid w:val="00273E7D"/>
    <w:rsid w:val="00277B99"/>
    <w:rsid w:val="00281678"/>
    <w:rsid w:val="00281A3D"/>
    <w:rsid w:val="00281B2F"/>
    <w:rsid w:val="00282541"/>
    <w:rsid w:val="002837C9"/>
    <w:rsid w:val="0028413D"/>
    <w:rsid w:val="0028587E"/>
    <w:rsid w:val="00286835"/>
    <w:rsid w:val="00287D4C"/>
    <w:rsid w:val="00290141"/>
    <w:rsid w:val="00291132"/>
    <w:rsid w:val="002920DE"/>
    <w:rsid w:val="00292541"/>
    <w:rsid w:val="00292654"/>
    <w:rsid w:val="00293594"/>
    <w:rsid w:val="002938AF"/>
    <w:rsid w:val="002A5717"/>
    <w:rsid w:val="002A7AD8"/>
    <w:rsid w:val="002B0754"/>
    <w:rsid w:val="002B25F8"/>
    <w:rsid w:val="002B5EC7"/>
    <w:rsid w:val="002B60A9"/>
    <w:rsid w:val="002B705F"/>
    <w:rsid w:val="002B7862"/>
    <w:rsid w:val="002C2928"/>
    <w:rsid w:val="002C397A"/>
    <w:rsid w:val="002D0275"/>
    <w:rsid w:val="002D2258"/>
    <w:rsid w:val="002D3F2A"/>
    <w:rsid w:val="002E2D38"/>
    <w:rsid w:val="002E342B"/>
    <w:rsid w:val="002E496D"/>
    <w:rsid w:val="002E6D57"/>
    <w:rsid w:val="002F1389"/>
    <w:rsid w:val="002F3196"/>
    <w:rsid w:val="002F3F20"/>
    <w:rsid w:val="002F62AE"/>
    <w:rsid w:val="00301E84"/>
    <w:rsid w:val="00301FE5"/>
    <w:rsid w:val="00301FFD"/>
    <w:rsid w:val="003043A7"/>
    <w:rsid w:val="003068E2"/>
    <w:rsid w:val="00306D26"/>
    <w:rsid w:val="003122AA"/>
    <w:rsid w:val="00312F00"/>
    <w:rsid w:val="003134D3"/>
    <w:rsid w:val="0031474A"/>
    <w:rsid w:val="00315771"/>
    <w:rsid w:val="003201C2"/>
    <w:rsid w:val="00320554"/>
    <w:rsid w:val="00320A0B"/>
    <w:rsid w:val="00321E7F"/>
    <w:rsid w:val="003243B0"/>
    <w:rsid w:val="00324AC0"/>
    <w:rsid w:val="0032598E"/>
    <w:rsid w:val="00326B79"/>
    <w:rsid w:val="003303A2"/>
    <w:rsid w:val="00334C20"/>
    <w:rsid w:val="00344794"/>
    <w:rsid w:val="00345304"/>
    <w:rsid w:val="00347452"/>
    <w:rsid w:val="0035047A"/>
    <w:rsid w:val="0035180A"/>
    <w:rsid w:val="00354E9F"/>
    <w:rsid w:val="0035536B"/>
    <w:rsid w:val="00366D9A"/>
    <w:rsid w:val="00371063"/>
    <w:rsid w:val="00371869"/>
    <w:rsid w:val="00372E98"/>
    <w:rsid w:val="00382B0F"/>
    <w:rsid w:val="00384A5E"/>
    <w:rsid w:val="0038779F"/>
    <w:rsid w:val="003902D4"/>
    <w:rsid w:val="00391360"/>
    <w:rsid w:val="00392FEF"/>
    <w:rsid w:val="0039355A"/>
    <w:rsid w:val="00394F48"/>
    <w:rsid w:val="003B4449"/>
    <w:rsid w:val="003B590D"/>
    <w:rsid w:val="003B74C3"/>
    <w:rsid w:val="003B7688"/>
    <w:rsid w:val="003B7FD3"/>
    <w:rsid w:val="003C078B"/>
    <w:rsid w:val="003C102E"/>
    <w:rsid w:val="003C1AB5"/>
    <w:rsid w:val="003C30FD"/>
    <w:rsid w:val="003C40A4"/>
    <w:rsid w:val="003C65B5"/>
    <w:rsid w:val="003C71DE"/>
    <w:rsid w:val="003C7E5F"/>
    <w:rsid w:val="003D6998"/>
    <w:rsid w:val="003E005A"/>
    <w:rsid w:val="003E16DB"/>
    <w:rsid w:val="003E1861"/>
    <w:rsid w:val="003E2616"/>
    <w:rsid w:val="003E314C"/>
    <w:rsid w:val="003E3623"/>
    <w:rsid w:val="003E470C"/>
    <w:rsid w:val="003E7175"/>
    <w:rsid w:val="003F1792"/>
    <w:rsid w:val="003F4203"/>
    <w:rsid w:val="003F49B2"/>
    <w:rsid w:val="003F4C3E"/>
    <w:rsid w:val="003F6DF0"/>
    <w:rsid w:val="003F7797"/>
    <w:rsid w:val="00400839"/>
    <w:rsid w:val="00400C3E"/>
    <w:rsid w:val="004052AE"/>
    <w:rsid w:val="00406263"/>
    <w:rsid w:val="00407940"/>
    <w:rsid w:val="00413B2A"/>
    <w:rsid w:val="00415337"/>
    <w:rsid w:val="00420882"/>
    <w:rsid w:val="00421538"/>
    <w:rsid w:val="0042490C"/>
    <w:rsid w:val="00425419"/>
    <w:rsid w:val="00426AF8"/>
    <w:rsid w:val="004310E8"/>
    <w:rsid w:val="004310EB"/>
    <w:rsid w:val="004311C8"/>
    <w:rsid w:val="00431299"/>
    <w:rsid w:val="00432378"/>
    <w:rsid w:val="00432C79"/>
    <w:rsid w:val="004333C9"/>
    <w:rsid w:val="004374A9"/>
    <w:rsid w:val="0044137E"/>
    <w:rsid w:val="004428C5"/>
    <w:rsid w:val="004458D2"/>
    <w:rsid w:val="00450055"/>
    <w:rsid w:val="00450CB1"/>
    <w:rsid w:val="0045419E"/>
    <w:rsid w:val="00457D71"/>
    <w:rsid w:val="00460F34"/>
    <w:rsid w:val="00463BD9"/>
    <w:rsid w:val="0046411F"/>
    <w:rsid w:val="00466BF8"/>
    <w:rsid w:val="00467C29"/>
    <w:rsid w:val="00473E94"/>
    <w:rsid w:val="00477856"/>
    <w:rsid w:val="00482B83"/>
    <w:rsid w:val="00483093"/>
    <w:rsid w:val="004961C3"/>
    <w:rsid w:val="00497C92"/>
    <w:rsid w:val="004A0BCC"/>
    <w:rsid w:val="004A5A43"/>
    <w:rsid w:val="004A5CDA"/>
    <w:rsid w:val="004A6033"/>
    <w:rsid w:val="004B11C6"/>
    <w:rsid w:val="004B2F9E"/>
    <w:rsid w:val="004B3780"/>
    <w:rsid w:val="004B3915"/>
    <w:rsid w:val="004B39A7"/>
    <w:rsid w:val="004B4A0F"/>
    <w:rsid w:val="004B4DB7"/>
    <w:rsid w:val="004B6042"/>
    <w:rsid w:val="004B69E7"/>
    <w:rsid w:val="004C0215"/>
    <w:rsid w:val="004C20DB"/>
    <w:rsid w:val="004C3B99"/>
    <w:rsid w:val="004C4F5D"/>
    <w:rsid w:val="004C5FAD"/>
    <w:rsid w:val="004D2F63"/>
    <w:rsid w:val="004D5701"/>
    <w:rsid w:val="004D58FA"/>
    <w:rsid w:val="004D5DD1"/>
    <w:rsid w:val="004D661F"/>
    <w:rsid w:val="004D6821"/>
    <w:rsid w:val="004D7CD1"/>
    <w:rsid w:val="004D7EF7"/>
    <w:rsid w:val="004E217A"/>
    <w:rsid w:val="004E3131"/>
    <w:rsid w:val="004F61D3"/>
    <w:rsid w:val="004F6889"/>
    <w:rsid w:val="004F77E9"/>
    <w:rsid w:val="005001B4"/>
    <w:rsid w:val="00500D67"/>
    <w:rsid w:val="00500E92"/>
    <w:rsid w:val="00501E62"/>
    <w:rsid w:val="0050401D"/>
    <w:rsid w:val="00511AB0"/>
    <w:rsid w:val="00512265"/>
    <w:rsid w:val="00513426"/>
    <w:rsid w:val="0051419C"/>
    <w:rsid w:val="00516B87"/>
    <w:rsid w:val="0052065E"/>
    <w:rsid w:val="00522580"/>
    <w:rsid w:val="00524492"/>
    <w:rsid w:val="00527879"/>
    <w:rsid w:val="00530169"/>
    <w:rsid w:val="005311C2"/>
    <w:rsid w:val="00532C7D"/>
    <w:rsid w:val="005427A3"/>
    <w:rsid w:val="0054305B"/>
    <w:rsid w:val="00545769"/>
    <w:rsid w:val="00545B19"/>
    <w:rsid w:val="00553290"/>
    <w:rsid w:val="00555FF3"/>
    <w:rsid w:val="00556DD6"/>
    <w:rsid w:val="00561292"/>
    <w:rsid w:val="005612C8"/>
    <w:rsid w:val="00573E61"/>
    <w:rsid w:val="005743D4"/>
    <w:rsid w:val="00575789"/>
    <w:rsid w:val="00581873"/>
    <w:rsid w:val="00581ADF"/>
    <w:rsid w:val="00582129"/>
    <w:rsid w:val="00583AC2"/>
    <w:rsid w:val="00584657"/>
    <w:rsid w:val="005929C7"/>
    <w:rsid w:val="00593234"/>
    <w:rsid w:val="005A042B"/>
    <w:rsid w:val="005A3267"/>
    <w:rsid w:val="005A4AEB"/>
    <w:rsid w:val="005A76B3"/>
    <w:rsid w:val="005A77AE"/>
    <w:rsid w:val="005B17B8"/>
    <w:rsid w:val="005B1ECF"/>
    <w:rsid w:val="005B2F14"/>
    <w:rsid w:val="005B4127"/>
    <w:rsid w:val="005B5D10"/>
    <w:rsid w:val="005B79EA"/>
    <w:rsid w:val="005C104C"/>
    <w:rsid w:val="005C28E3"/>
    <w:rsid w:val="005C563E"/>
    <w:rsid w:val="005C7307"/>
    <w:rsid w:val="005C7EBD"/>
    <w:rsid w:val="005D05CC"/>
    <w:rsid w:val="005D07B4"/>
    <w:rsid w:val="005D2516"/>
    <w:rsid w:val="005D3E9C"/>
    <w:rsid w:val="005E02C6"/>
    <w:rsid w:val="005E33A5"/>
    <w:rsid w:val="005E3DC0"/>
    <w:rsid w:val="005F2760"/>
    <w:rsid w:val="005F2DE0"/>
    <w:rsid w:val="00601FD7"/>
    <w:rsid w:val="0060365B"/>
    <w:rsid w:val="00605CAB"/>
    <w:rsid w:val="00614967"/>
    <w:rsid w:val="00615063"/>
    <w:rsid w:val="00616244"/>
    <w:rsid w:val="0062254D"/>
    <w:rsid w:val="006255F9"/>
    <w:rsid w:val="00632799"/>
    <w:rsid w:val="0063388D"/>
    <w:rsid w:val="0063408E"/>
    <w:rsid w:val="00634146"/>
    <w:rsid w:val="00634D27"/>
    <w:rsid w:val="006355D9"/>
    <w:rsid w:val="006367D4"/>
    <w:rsid w:val="006431D1"/>
    <w:rsid w:val="006476FA"/>
    <w:rsid w:val="00647C0A"/>
    <w:rsid w:val="00651F04"/>
    <w:rsid w:val="00652FD6"/>
    <w:rsid w:val="00656FE6"/>
    <w:rsid w:val="006579F6"/>
    <w:rsid w:val="00660B30"/>
    <w:rsid w:val="00665B81"/>
    <w:rsid w:val="00665F68"/>
    <w:rsid w:val="00667012"/>
    <w:rsid w:val="00670182"/>
    <w:rsid w:val="00670550"/>
    <w:rsid w:val="0067131A"/>
    <w:rsid w:val="006736A3"/>
    <w:rsid w:val="0067403C"/>
    <w:rsid w:val="0067413B"/>
    <w:rsid w:val="00675AA8"/>
    <w:rsid w:val="00677787"/>
    <w:rsid w:val="00682414"/>
    <w:rsid w:val="00682CCC"/>
    <w:rsid w:val="00691A7E"/>
    <w:rsid w:val="00693648"/>
    <w:rsid w:val="00696BB7"/>
    <w:rsid w:val="006973B9"/>
    <w:rsid w:val="00697502"/>
    <w:rsid w:val="006A21AB"/>
    <w:rsid w:val="006A60F4"/>
    <w:rsid w:val="006B05EF"/>
    <w:rsid w:val="006B420B"/>
    <w:rsid w:val="006B50E4"/>
    <w:rsid w:val="006B5933"/>
    <w:rsid w:val="006B5FDA"/>
    <w:rsid w:val="006C0144"/>
    <w:rsid w:val="006C06E9"/>
    <w:rsid w:val="006C1C9E"/>
    <w:rsid w:val="006C2137"/>
    <w:rsid w:val="006C6175"/>
    <w:rsid w:val="006C70F9"/>
    <w:rsid w:val="006C7BE7"/>
    <w:rsid w:val="006D560B"/>
    <w:rsid w:val="006E76F0"/>
    <w:rsid w:val="006F279A"/>
    <w:rsid w:val="006F38DD"/>
    <w:rsid w:val="006F4917"/>
    <w:rsid w:val="006F5E2B"/>
    <w:rsid w:val="006F6181"/>
    <w:rsid w:val="0070094D"/>
    <w:rsid w:val="00700A9C"/>
    <w:rsid w:val="007018B4"/>
    <w:rsid w:val="007027F7"/>
    <w:rsid w:val="007049EB"/>
    <w:rsid w:val="00705B3A"/>
    <w:rsid w:val="00705C72"/>
    <w:rsid w:val="00713C97"/>
    <w:rsid w:val="00713FA2"/>
    <w:rsid w:val="0071481D"/>
    <w:rsid w:val="00715C70"/>
    <w:rsid w:val="00716C65"/>
    <w:rsid w:val="00716C8C"/>
    <w:rsid w:val="00720A3F"/>
    <w:rsid w:val="00722D0E"/>
    <w:rsid w:val="00723023"/>
    <w:rsid w:val="00732657"/>
    <w:rsid w:val="00733C78"/>
    <w:rsid w:val="007355E8"/>
    <w:rsid w:val="00736FEA"/>
    <w:rsid w:val="00741F5B"/>
    <w:rsid w:val="00744819"/>
    <w:rsid w:val="00751AC3"/>
    <w:rsid w:val="00753A4F"/>
    <w:rsid w:val="00754BE1"/>
    <w:rsid w:val="007555D3"/>
    <w:rsid w:val="00757641"/>
    <w:rsid w:val="00760838"/>
    <w:rsid w:val="00761BA5"/>
    <w:rsid w:val="00762609"/>
    <w:rsid w:val="00762E0B"/>
    <w:rsid w:val="007661C6"/>
    <w:rsid w:val="00773573"/>
    <w:rsid w:val="00776C1B"/>
    <w:rsid w:val="00777AC2"/>
    <w:rsid w:val="00777F1D"/>
    <w:rsid w:val="00782713"/>
    <w:rsid w:val="00783099"/>
    <w:rsid w:val="00785E55"/>
    <w:rsid w:val="00786F11"/>
    <w:rsid w:val="00787432"/>
    <w:rsid w:val="00790351"/>
    <w:rsid w:val="0079092E"/>
    <w:rsid w:val="00792B5B"/>
    <w:rsid w:val="00795016"/>
    <w:rsid w:val="007962AA"/>
    <w:rsid w:val="00796B30"/>
    <w:rsid w:val="00796D45"/>
    <w:rsid w:val="007A12AC"/>
    <w:rsid w:val="007A3100"/>
    <w:rsid w:val="007A47DA"/>
    <w:rsid w:val="007A4953"/>
    <w:rsid w:val="007A57B7"/>
    <w:rsid w:val="007A7F23"/>
    <w:rsid w:val="007B11E6"/>
    <w:rsid w:val="007B2B33"/>
    <w:rsid w:val="007B333C"/>
    <w:rsid w:val="007B3BBE"/>
    <w:rsid w:val="007B4D15"/>
    <w:rsid w:val="007B5DBB"/>
    <w:rsid w:val="007B6CDF"/>
    <w:rsid w:val="007C2720"/>
    <w:rsid w:val="007C30FC"/>
    <w:rsid w:val="007C62D6"/>
    <w:rsid w:val="007C772B"/>
    <w:rsid w:val="007C7843"/>
    <w:rsid w:val="007D0730"/>
    <w:rsid w:val="007D1382"/>
    <w:rsid w:val="007D1993"/>
    <w:rsid w:val="007D310D"/>
    <w:rsid w:val="007E580C"/>
    <w:rsid w:val="007E67B6"/>
    <w:rsid w:val="007F19EB"/>
    <w:rsid w:val="007F3955"/>
    <w:rsid w:val="007F5C79"/>
    <w:rsid w:val="007F5E77"/>
    <w:rsid w:val="007F68E8"/>
    <w:rsid w:val="007F72AE"/>
    <w:rsid w:val="007F746F"/>
    <w:rsid w:val="008005A1"/>
    <w:rsid w:val="0080125E"/>
    <w:rsid w:val="0080512B"/>
    <w:rsid w:val="0080779C"/>
    <w:rsid w:val="008079FC"/>
    <w:rsid w:val="00810C8B"/>
    <w:rsid w:val="00813B3E"/>
    <w:rsid w:val="0081644A"/>
    <w:rsid w:val="008171C0"/>
    <w:rsid w:val="0082294F"/>
    <w:rsid w:val="0082369A"/>
    <w:rsid w:val="00824215"/>
    <w:rsid w:val="0082499E"/>
    <w:rsid w:val="00824B9B"/>
    <w:rsid w:val="008269C6"/>
    <w:rsid w:val="00831E0C"/>
    <w:rsid w:val="00833FA0"/>
    <w:rsid w:val="00835B0A"/>
    <w:rsid w:val="00835E92"/>
    <w:rsid w:val="0083640D"/>
    <w:rsid w:val="00844774"/>
    <w:rsid w:val="00846772"/>
    <w:rsid w:val="008505DE"/>
    <w:rsid w:val="00850C9F"/>
    <w:rsid w:val="008554DC"/>
    <w:rsid w:val="00855FA0"/>
    <w:rsid w:val="00860CC5"/>
    <w:rsid w:val="0086322B"/>
    <w:rsid w:val="008678FD"/>
    <w:rsid w:val="008704FC"/>
    <w:rsid w:val="00872E43"/>
    <w:rsid w:val="008752DF"/>
    <w:rsid w:val="00875578"/>
    <w:rsid w:val="00876A66"/>
    <w:rsid w:val="0088091C"/>
    <w:rsid w:val="00884DE7"/>
    <w:rsid w:val="008854CD"/>
    <w:rsid w:val="008908CD"/>
    <w:rsid w:val="00890CC3"/>
    <w:rsid w:val="00894FA0"/>
    <w:rsid w:val="00894FE3"/>
    <w:rsid w:val="008956B4"/>
    <w:rsid w:val="008A09C1"/>
    <w:rsid w:val="008A585E"/>
    <w:rsid w:val="008A680F"/>
    <w:rsid w:val="008B0E66"/>
    <w:rsid w:val="008B1975"/>
    <w:rsid w:val="008B3084"/>
    <w:rsid w:val="008B34F3"/>
    <w:rsid w:val="008B3929"/>
    <w:rsid w:val="008B5993"/>
    <w:rsid w:val="008B7192"/>
    <w:rsid w:val="008B71AA"/>
    <w:rsid w:val="008C176E"/>
    <w:rsid w:val="008C21C3"/>
    <w:rsid w:val="008C7CEF"/>
    <w:rsid w:val="008D4D4C"/>
    <w:rsid w:val="008D4F7B"/>
    <w:rsid w:val="008D59B5"/>
    <w:rsid w:val="008D6B60"/>
    <w:rsid w:val="008D74F1"/>
    <w:rsid w:val="008D7ECF"/>
    <w:rsid w:val="008E7B55"/>
    <w:rsid w:val="008F0B2F"/>
    <w:rsid w:val="008F1248"/>
    <w:rsid w:val="008F2D1A"/>
    <w:rsid w:val="008F37DB"/>
    <w:rsid w:val="008F673C"/>
    <w:rsid w:val="0090005F"/>
    <w:rsid w:val="009012F2"/>
    <w:rsid w:val="00901CEC"/>
    <w:rsid w:val="00903EBE"/>
    <w:rsid w:val="0090446A"/>
    <w:rsid w:val="00907A01"/>
    <w:rsid w:val="00910E42"/>
    <w:rsid w:val="00911767"/>
    <w:rsid w:val="0091272B"/>
    <w:rsid w:val="009128C0"/>
    <w:rsid w:val="00912ABB"/>
    <w:rsid w:val="0091324E"/>
    <w:rsid w:val="0091369D"/>
    <w:rsid w:val="009140BB"/>
    <w:rsid w:val="009151E1"/>
    <w:rsid w:val="00920BDC"/>
    <w:rsid w:val="009218F7"/>
    <w:rsid w:val="009265F9"/>
    <w:rsid w:val="00926A3E"/>
    <w:rsid w:val="00927179"/>
    <w:rsid w:val="00932183"/>
    <w:rsid w:val="00932B42"/>
    <w:rsid w:val="00934034"/>
    <w:rsid w:val="00934A5B"/>
    <w:rsid w:val="009406C0"/>
    <w:rsid w:val="009450F2"/>
    <w:rsid w:val="009452AD"/>
    <w:rsid w:val="00947D0F"/>
    <w:rsid w:val="00950D2D"/>
    <w:rsid w:val="00954CDE"/>
    <w:rsid w:val="00955161"/>
    <w:rsid w:val="009567A8"/>
    <w:rsid w:val="009636DB"/>
    <w:rsid w:val="00967BA9"/>
    <w:rsid w:val="009711F1"/>
    <w:rsid w:val="00972852"/>
    <w:rsid w:val="009734C9"/>
    <w:rsid w:val="00976502"/>
    <w:rsid w:val="0097768D"/>
    <w:rsid w:val="00977E2F"/>
    <w:rsid w:val="00981BE7"/>
    <w:rsid w:val="00981CD5"/>
    <w:rsid w:val="009857C4"/>
    <w:rsid w:val="009862C8"/>
    <w:rsid w:val="00987392"/>
    <w:rsid w:val="00987730"/>
    <w:rsid w:val="00991932"/>
    <w:rsid w:val="0099194A"/>
    <w:rsid w:val="00992F95"/>
    <w:rsid w:val="00994DE8"/>
    <w:rsid w:val="00995A41"/>
    <w:rsid w:val="00995D1E"/>
    <w:rsid w:val="00997814"/>
    <w:rsid w:val="009A51CF"/>
    <w:rsid w:val="009B2F1D"/>
    <w:rsid w:val="009B4626"/>
    <w:rsid w:val="009C1CBB"/>
    <w:rsid w:val="009C3809"/>
    <w:rsid w:val="009C6DB7"/>
    <w:rsid w:val="009C6F45"/>
    <w:rsid w:val="009D0F5E"/>
    <w:rsid w:val="009D3C4B"/>
    <w:rsid w:val="009D416B"/>
    <w:rsid w:val="009D5A33"/>
    <w:rsid w:val="009D6A47"/>
    <w:rsid w:val="009D7768"/>
    <w:rsid w:val="009E081E"/>
    <w:rsid w:val="009E1BE1"/>
    <w:rsid w:val="009E3CB8"/>
    <w:rsid w:val="009E4833"/>
    <w:rsid w:val="009E6389"/>
    <w:rsid w:val="009F053F"/>
    <w:rsid w:val="009F2424"/>
    <w:rsid w:val="009F4A57"/>
    <w:rsid w:val="009F4AC5"/>
    <w:rsid w:val="00A00041"/>
    <w:rsid w:val="00A000F1"/>
    <w:rsid w:val="00A01B67"/>
    <w:rsid w:val="00A024AE"/>
    <w:rsid w:val="00A03680"/>
    <w:rsid w:val="00A10D2D"/>
    <w:rsid w:val="00A111D5"/>
    <w:rsid w:val="00A1181B"/>
    <w:rsid w:val="00A13BEF"/>
    <w:rsid w:val="00A1450C"/>
    <w:rsid w:val="00A14B36"/>
    <w:rsid w:val="00A20354"/>
    <w:rsid w:val="00A212B4"/>
    <w:rsid w:val="00A228DE"/>
    <w:rsid w:val="00A26839"/>
    <w:rsid w:val="00A301BB"/>
    <w:rsid w:val="00A30BCE"/>
    <w:rsid w:val="00A3185D"/>
    <w:rsid w:val="00A320B9"/>
    <w:rsid w:val="00A34D4C"/>
    <w:rsid w:val="00A35C4E"/>
    <w:rsid w:val="00A35ECC"/>
    <w:rsid w:val="00A378D5"/>
    <w:rsid w:val="00A4157F"/>
    <w:rsid w:val="00A44795"/>
    <w:rsid w:val="00A455AC"/>
    <w:rsid w:val="00A45CB2"/>
    <w:rsid w:val="00A5000B"/>
    <w:rsid w:val="00A50AD5"/>
    <w:rsid w:val="00A51A99"/>
    <w:rsid w:val="00A52257"/>
    <w:rsid w:val="00A52A92"/>
    <w:rsid w:val="00A54C28"/>
    <w:rsid w:val="00A55468"/>
    <w:rsid w:val="00A5715F"/>
    <w:rsid w:val="00A57CB7"/>
    <w:rsid w:val="00A61BEC"/>
    <w:rsid w:val="00A61E11"/>
    <w:rsid w:val="00A62054"/>
    <w:rsid w:val="00A63125"/>
    <w:rsid w:val="00A659D0"/>
    <w:rsid w:val="00A66585"/>
    <w:rsid w:val="00A66A80"/>
    <w:rsid w:val="00A711C4"/>
    <w:rsid w:val="00A718D5"/>
    <w:rsid w:val="00A71A4C"/>
    <w:rsid w:val="00A74B58"/>
    <w:rsid w:val="00A75082"/>
    <w:rsid w:val="00A8298B"/>
    <w:rsid w:val="00A846CD"/>
    <w:rsid w:val="00A91DBF"/>
    <w:rsid w:val="00A93F50"/>
    <w:rsid w:val="00A94159"/>
    <w:rsid w:val="00A952B2"/>
    <w:rsid w:val="00A96487"/>
    <w:rsid w:val="00A974B9"/>
    <w:rsid w:val="00AA1552"/>
    <w:rsid w:val="00AA48C4"/>
    <w:rsid w:val="00AB0508"/>
    <w:rsid w:val="00AB1258"/>
    <w:rsid w:val="00AB1CF1"/>
    <w:rsid w:val="00AB6846"/>
    <w:rsid w:val="00AB71DD"/>
    <w:rsid w:val="00AB7217"/>
    <w:rsid w:val="00AC3FEF"/>
    <w:rsid w:val="00AC6036"/>
    <w:rsid w:val="00AC7436"/>
    <w:rsid w:val="00AD28FC"/>
    <w:rsid w:val="00AD5D78"/>
    <w:rsid w:val="00AD5F1B"/>
    <w:rsid w:val="00AE5228"/>
    <w:rsid w:val="00AE69A0"/>
    <w:rsid w:val="00AE6B97"/>
    <w:rsid w:val="00AE7143"/>
    <w:rsid w:val="00AE7B9C"/>
    <w:rsid w:val="00AF0D52"/>
    <w:rsid w:val="00AF10A3"/>
    <w:rsid w:val="00AF1313"/>
    <w:rsid w:val="00AF39A8"/>
    <w:rsid w:val="00AF3EB1"/>
    <w:rsid w:val="00AF4955"/>
    <w:rsid w:val="00AF7885"/>
    <w:rsid w:val="00B00D95"/>
    <w:rsid w:val="00B018C7"/>
    <w:rsid w:val="00B023B9"/>
    <w:rsid w:val="00B10362"/>
    <w:rsid w:val="00B1058D"/>
    <w:rsid w:val="00B10EFD"/>
    <w:rsid w:val="00B14D95"/>
    <w:rsid w:val="00B167FE"/>
    <w:rsid w:val="00B17046"/>
    <w:rsid w:val="00B17A15"/>
    <w:rsid w:val="00B21449"/>
    <w:rsid w:val="00B217F5"/>
    <w:rsid w:val="00B23503"/>
    <w:rsid w:val="00B24B95"/>
    <w:rsid w:val="00B259D0"/>
    <w:rsid w:val="00B2622F"/>
    <w:rsid w:val="00B2718E"/>
    <w:rsid w:val="00B30084"/>
    <w:rsid w:val="00B32EDA"/>
    <w:rsid w:val="00B33DF2"/>
    <w:rsid w:val="00B34AF2"/>
    <w:rsid w:val="00B36FBB"/>
    <w:rsid w:val="00B40378"/>
    <w:rsid w:val="00B43519"/>
    <w:rsid w:val="00B45645"/>
    <w:rsid w:val="00B460CE"/>
    <w:rsid w:val="00B53069"/>
    <w:rsid w:val="00B548D0"/>
    <w:rsid w:val="00B57999"/>
    <w:rsid w:val="00B60353"/>
    <w:rsid w:val="00B60C01"/>
    <w:rsid w:val="00B657AE"/>
    <w:rsid w:val="00B65B07"/>
    <w:rsid w:val="00B65D6C"/>
    <w:rsid w:val="00B7102D"/>
    <w:rsid w:val="00B71F97"/>
    <w:rsid w:val="00B74898"/>
    <w:rsid w:val="00B75C1E"/>
    <w:rsid w:val="00B80F2A"/>
    <w:rsid w:val="00B813A1"/>
    <w:rsid w:val="00B831FB"/>
    <w:rsid w:val="00B83884"/>
    <w:rsid w:val="00B8503F"/>
    <w:rsid w:val="00B9057B"/>
    <w:rsid w:val="00B90C84"/>
    <w:rsid w:val="00B95410"/>
    <w:rsid w:val="00B9733D"/>
    <w:rsid w:val="00BA07FC"/>
    <w:rsid w:val="00BA270A"/>
    <w:rsid w:val="00BA2834"/>
    <w:rsid w:val="00BB2B20"/>
    <w:rsid w:val="00BB33B5"/>
    <w:rsid w:val="00BB3985"/>
    <w:rsid w:val="00BB3A75"/>
    <w:rsid w:val="00BB4B6E"/>
    <w:rsid w:val="00BC443A"/>
    <w:rsid w:val="00BC5866"/>
    <w:rsid w:val="00BC5A1E"/>
    <w:rsid w:val="00BC5BCE"/>
    <w:rsid w:val="00BC5FAF"/>
    <w:rsid w:val="00BC64E4"/>
    <w:rsid w:val="00BD010F"/>
    <w:rsid w:val="00BD0C5C"/>
    <w:rsid w:val="00BE2DB6"/>
    <w:rsid w:val="00BF0211"/>
    <w:rsid w:val="00BF1FA5"/>
    <w:rsid w:val="00BF68AA"/>
    <w:rsid w:val="00BF7FC2"/>
    <w:rsid w:val="00C003FB"/>
    <w:rsid w:val="00C01794"/>
    <w:rsid w:val="00C01CD7"/>
    <w:rsid w:val="00C06480"/>
    <w:rsid w:val="00C0682B"/>
    <w:rsid w:val="00C0735B"/>
    <w:rsid w:val="00C079F6"/>
    <w:rsid w:val="00C11E4B"/>
    <w:rsid w:val="00C15B56"/>
    <w:rsid w:val="00C15F4F"/>
    <w:rsid w:val="00C267B7"/>
    <w:rsid w:val="00C2711E"/>
    <w:rsid w:val="00C30F2D"/>
    <w:rsid w:val="00C3452E"/>
    <w:rsid w:val="00C34687"/>
    <w:rsid w:val="00C41170"/>
    <w:rsid w:val="00C444F3"/>
    <w:rsid w:val="00C45D7A"/>
    <w:rsid w:val="00C505AF"/>
    <w:rsid w:val="00C53381"/>
    <w:rsid w:val="00C5530A"/>
    <w:rsid w:val="00C568D8"/>
    <w:rsid w:val="00C56E87"/>
    <w:rsid w:val="00C60020"/>
    <w:rsid w:val="00C61341"/>
    <w:rsid w:val="00C615C3"/>
    <w:rsid w:val="00C6216F"/>
    <w:rsid w:val="00C625AC"/>
    <w:rsid w:val="00C63D05"/>
    <w:rsid w:val="00C65A49"/>
    <w:rsid w:val="00C65F98"/>
    <w:rsid w:val="00C66054"/>
    <w:rsid w:val="00C704E4"/>
    <w:rsid w:val="00C74AAD"/>
    <w:rsid w:val="00C75BA0"/>
    <w:rsid w:val="00C761C7"/>
    <w:rsid w:val="00C807E0"/>
    <w:rsid w:val="00C856B6"/>
    <w:rsid w:val="00C85F43"/>
    <w:rsid w:val="00C94D23"/>
    <w:rsid w:val="00C96CAA"/>
    <w:rsid w:val="00CA0B0D"/>
    <w:rsid w:val="00CA3FE3"/>
    <w:rsid w:val="00CA4F0B"/>
    <w:rsid w:val="00CA556B"/>
    <w:rsid w:val="00CA62EC"/>
    <w:rsid w:val="00CA7876"/>
    <w:rsid w:val="00CA7F40"/>
    <w:rsid w:val="00CB7710"/>
    <w:rsid w:val="00CC1DF5"/>
    <w:rsid w:val="00CC2728"/>
    <w:rsid w:val="00CC5C66"/>
    <w:rsid w:val="00CC7383"/>
    <w:rsid w:val="00CD1CA9"/>
    <w:rsid w:val="00CD51FF"/>
    <w:rsid w:val="00CD5556"/>
    <w:rsid w:val="00CD7B63"/>
    <w:rsid w:val="00CE1B0F"/>
    <w:rsid w:val="00CE644D"/>
    <w:rsid w:val="00CF3412"/>
    <w:rsid w:val="00CF49CA"/>
    <w:rsid w:val="00CF6F13"/>
    <w:rsid w:val="00CF74A0"/>
    <w:rsid w:val="00CF78CF"/>
    <w:rsid w:val="00D0231C"/>
    <w:rsid w:val="00D02D14"/>
    <w:rsid w:val="00D04599"/>
    <w:rsid w:val="00D04632"/>
    <w:rsid w:val="00D054DD"/>
    <w:rsid w:val="00D069A4"/>
    <w:rsid w:val="00D110B7"/>
    <w:rsid w:val="00D12680"/>
    <w:rsid w:val="00D12730"/>
    <w:rsid w:val="00D149FE"/>
    <w:rsid w:val="00D14CCF"/>
    <w:rsid w:val="00D175D0"/>
    <w:rsid w:val="00D20AA2"/>
    <w:rsid w:val="00D22403"/>
    <w:rsid w:val="00D22579"/>
    <w:rsid w:val="00D22D96"/>
    <w:rsid w:val="00D23A76"/>
    <w:rsid w:val="00D24434"/>
    <w:rsid w:val="00D246B5"/>
    <w:rsid w:val="00D262FB"/>
    <w:rsid w:val="00D30488"/>
    <w:rsid w:val="00D31475"/>
    <w:rsid w:val="00D31D5F"/>
    <w:rsid w:val="00D333FD"/>
    <w:rsid w:val="00D33819"/>
    <w:rsid w:val="00D340B9"/>
    <w:rsid w:val="00D40232"/>
    <w:rsid w:val="00D40DCB"/>
    <w:rsid w:val="00D41966"/>
    <w:rsid w:val="00D422D8"/>
    <w:rsid w:val="00D532B6"/>
    <w:rsid w:val="00D5530E"/>
    <w:rsid w:val="00D55C1E"/>
    <w:rsid w:val="00D606F9"/>
    <w:rsid w:val="00D61B77"/>
    <w:rsid w:val="00D65AB6"/>
    <w:rsid w:val="00D70652"/>
    <w:rsid w:val="00D71753"/>
    <w:rsid w:val="00D72256"/>
    <w:rsid w:val="00D7452D"/>
    <w:rsid w:val="00D7465F"/>
    <w:rsid w:val="00D74B15"/>
    <w:rsid w:val="00D74F03"/>
    <w:rsid w:val="00D76DF8"/>
    <w:rsid w:val="00D80DC5"/>
    <w:rsid w:val="00D83316"/>
    <w:rsid w:val="00D8424B"/>
    <w:rsid w:val="00D878BF"/>
    <w:rsid w:val="00D92CB1"/>
    <w:rsid w:val="00D932EF"/>
    <w:rsid w:val="00D937AC"/>
    <w:rsid w:val="00D943CD"/>
    <w:rsid w:val="00D976CD"/>
    <w:rsid w:val="00DA4BC6"/>
    <w:rsid w:val="00DA70FB"/>
    <w:rsid w:val="00DB1E7C"/>
    <w:rsid w:val="00DC01D7"/>
    <w:rsid w:val="00DC2952"/>
    <w:rsid w:val="00DC2A6B"/>
    <w:rsid w:val="00DC401A"/>
    <w:rsid w:val="00DC4030"/>
    <w:rsid w:val="00DC5239"/>
    <w:rsid w:val="00DC5FF0"/>
    <w:rsid w:val="00DD271C"/>
    <w:rsid w:val="00DE10AD"/>
    <w:rsid w:val="00DE1E8A"/>
    <w:rsid w:val="00DE3136"/>
    <w:rsid w:val="00DE5038"/>
    <w:rsid w:val="00DE698B"/>
    <w:rsid w:val="00DF1EAA"/>
    <w:rsid w:val="00DF2304"/>
    <w:rsid w:val="00DF341C"/>
    <w:rsid w:val="00DF38E0"/>
    <w:rsid w:val="00DF61B3"/>
    <w:rsid w:val="00E019A2"/>
    <w:rsid w:val="00E059FC"/>
    <w:rsid w:val="00E14B1B"/>
    <w:rsid w:val="00E1596B"/>
    <w:rsid w:val="00E16DB1"/>
    <w:rsid w:val="00E219DA"/>
    <w:rsid w:val="00E21AA4"/>
    <w:rsid w:val="00E22B25"/>
    <w:rsid w:val="00E2676F"/>
    <w:rsid w:val="00E279A3"/>
    <w:rsid w:val="00E304DA"/>
    <w:rsid w:val="00E305AA"/>
    <w:rsid w:val="00E31048"/>
    <w:rsid w:val="00E3154C"/>
    <w:rsid w:val="00E31A0A"/>
    <w:rsid w:val="00E32C92"/>
    <w:rsid w:val="00E334B3"/>
    <w:rsid w:val="00E375C1"/>
    <w:rsid w:val="00E40E60"/>
    <w:rsid w:val="00E4612D"/>
    <w:rsid w:val="00E51115"/>
    <w:rsid w:val="00E56EA6"/>
    <w:rsid w:val="00E63105"/>
    <w:rsid w:val="00E64262"/>
    <w:rsid w:val="00E64AFE"/>
    <w:rsid w:val="00E66771"/>
    <w:rsid w:val="00E668F2"/>
    <w:rsid w:val="00E66E28"/>
    <w:rsid w:val="00E67EA9"/>
    <w:rsid w:val="00E733A6"/>
    <w:rsid w:val="00E8193E"/>
    <w:rsid w:val="00E84175"/>
    <w:rsid w:val="00E85E1E"/>
    <w:rsid w:val="00E86A24"/>
    <w:rsid w:val="00E879DC"/>
    <w:rsid w:val="00E93F34"/>
    <w:rsid w:val="00E96602"/>
    <w:rsid w:val="00E96968"/>
    <w:rsid w:val="00EA4E59"/>
    <w:rsid w:val="00EA5CFE"/>
    <w:rsid w:val="00EA62C2"/>
    <w:rsid w:val="00EB2F8E"/>
    <w:rsid w:val="00EB3727"/>
    <w:rsid w:val="00EB3FE9"/>
    <w:rsid w:val="00EB54B2"/>
    <w:rsid w:val="00EC1AD0"/>
    <w:rsid w:val="00EC3E5E"/>
    <w:rsid w:val="00EC492E"/>
    <w:rsid w:val="00EC4C36"/>
    <w:rsid w:val="00ED038B"/>
    <w:rsid w:val="00ED36D1"/>
    <w:rsid w:val="00ED4A2D"/>
    <w:rsid w:val="00ED7ADE"/>
    <w:rsid w:val="00EE01E8"/>
    <w:rsid w:val="00EE2F6D"/>
    <w:rsid w:val="00EE3C00"/>
    <w:rsid w:val="00EE5102"/>
    <w:rsid w:val="00EF1574"/>
    <w:rsid w:val="00EF20F2"/>
    <w:rsid w:val="00EF2EDE"/>
    <w:rsid w:val="00EF4296"/>
    <w:rsid w:val="00EF4BA5"/>
    <w:rsid w:val="00EF4D43"/>
    <w:rsid w:val="00EF5502"/>
    <w:rsid w:val="00EF6661"/>
    <w:rsid w:val="00F0060A"/>
    <w:rsid w:val="00F0100C"/>
    <w:rsid w:val="00F066F1"/>
    <w:rsid w:val="00F06783"/>
    <w:rsid w:val="00F07F38"/>
    <w:rsid w:val="00F10CEF"/>
    <w:rsid w:val="00F11825"/>
    <w:rsid w:val="00F1290D"/>
    <w:rsid w:val="00F14066"/>
    <w:rsid w:val="00F1446C"/>
    <w:rsid w:val="00F23382"/>
    <w:rsid w:val="00F23AAE"/>
    <w:rsid w:val="00F27FE1"/>
    <w:rsid w:val="00F3118C"/>
    <w:rsid w:val="00F4398E"/>
    <w:rsid w:val="00F505AC"/>
    <w:rsid w:val="00F50CF2"/>
    <w:rsid w:val="00F52924"/>
    <w:rsid w:val="00F5318B"/>
    <w:rsid w:val="00F53886"/>
    <w:rsid w:val="00F55B98"/>
    <w:rsid w:val="00F57CA5"/>
    <w:rsid w:val="00F61134"/>
    <w:rsid w:val="00F612CF"/>
    <w:rsid w:val="00F62270"/>
    <w:rsid w:val="00F65136"/>
    <w:rsid w:val="00F65C5C"/>
    <w:rsid w:val="00F66A1B"/>
    <w:rsid w:val="00F67C04"/>
    <w:rsid w:val="00F70037"/>
    <w:rsid w:val="00F7098E"/>
    <w:rsid w:val="00F70F9F"/>
    <w:rsid w:val="00F71837"/>
    <w:rsid w:val="00F719D8"/>
    <w:rsid w:val="00F76BE7"/>
    <w:rsid w:val="00F81F73"/>
    <w:rsid w:val="00F84119"/>
    <w:rsid w:val="00F84488"/>
    <w:rsid w:val="00F860F8"/>
    <w:rsid w:val="00F877F1"/>
    <w:rsid w:val="00F90E5F"/>
    <w:rsid w:val="00F9136F"/>
    <w:rsid w:val="00F9167A"/>
    <w:rsid w:val="00F956B7"/>
    <w:rsid w:val="00FA017A"/>
    <w:rsid w:val="00FA10A1"/>
    <w:rsid w:val="00FA77C4"/>
    <w:rsid w:val="00FB0A48"/>
    <w:rsid w:val="00FB4FE1"/>
    <w:rsid w:val="00FC11D6"/>
    <w:rsid w:val="00FC2854"/>
    <w:rsid w:val="00FC294D"/>
    <w:rsid w:val="00FC4FD1"/>
    <w:rsid w:val="00FC5CEF"/>
    <w:rsid w:val="00FC615F"/>
    <w:rsid w:val="00FC67B3"/>
    <w:rsid w:val="00FC7444"/>
    <w:rsid w:val="00FD0700"/>
    <w:rsid w:val="00FD273F"/>
    <w:rsid w:val="00FD4558"/>
    <w:rsid w:val="00FD469D"/>
    <w:rsid w:val="00FD580F"/>
    <w:rsid w:val="00FE0175"/>
    <w:rsid w:val="00FE0CBF"/>
    <w:rsid w:val="00FE12BC"/>
    <w:rsid w:val="00FE13AD"/>
    <w:rsid w:val="00FE4B30"/>
    <w:rsid w:val="00FE62EE"/>
    <w:rsid w:val="00FE7D90"/>
    <w:rsid w:val="00FF0633"/>
    <w:rsid w:val="00FF06D9"/>
    <w:rsid w:val="00FF0EE1"/>
    <w:rsid w:val="00FF1158"/>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E8D8"/>
  <w15:chartTrackingRefBased/>
  <w15:docId w15:val="{789BB052-50DA-4040-B891-175017D3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8E"/>
    <w:pPr>
      <w:ind w:left="720"/>
      <w:contextualSpacing/>
    </w:pPr>
  </w:style>
  <w:style w:type="table" w:styleId="TableGrid">
    <w:name w:val="Table Grid"/>
    <w:basedOn w:val="Table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0691"/>
    <w:rPr>
      <w:color w:val="0563C1" w:themeColor="hyperlink"/>
      <w:u w:val="single"/>
    </w:rPr>
  </w:style>
  <w:style w:type="character" w:styleId="CommentReference">
    <w:name w:val="annotation reference"/>
    <w:basedOn w:val="DefaultParagraphFont"/>
    <w:uiPriority w:val="99"/>
    <w:semiHidden/>
    <w:unhideWhenUsed/>
    <w:rsid w:val="000B3CEF"/>
    <w:rPr>
      <w:sz w:val="16"/>
      <w:szCs w:val="16"/>
    </w:rPr>
  </w:style>
  <w:style w:type="paragraph" w:styleId="CommentText">
    <w:name w:val="annotation text"/>
    <w:basedOn w:val="Normal"/>
    <w:link w:val="CommentTextChar"/>
    <w:uiPriority w:val="99"/>
    <w:semiHidden/>
    <w:unhideWhenUsed/>
    <w:rsid w:val="000B3CEF"/>
    <w:pPr>
      <w:spacing w:line="240" w:lineRule="auto"/>
    </w:pPr>
    <w:rPr>
      <w:sz w:val="20"/>
      <w:szCs w:val="20"/>
    </w:rPr>
  </w:style>
  <w:style w:type="character" w:customStyle="1" w:styleId="CommentTextChar">
    <w:name w:val="Comment Text Char"/>
    <w:basedOn w:val="DefaultParagraphFont"/>
    <w:link w:val="CommentText"/>
    <w:uiPriority w:val="99"/>
    <w:semiHidden/>
    <w:rsid w:val="000B3CEF"/>
    <w:rPr>
      <w:sz w:val="20"/>
      <w:szCs w:val="20"/>
    </w:rPr>
  </w:style>
  <w:style w:type="paragraph" w:styleId="CommentSubject">
    <w:name w:val="annotation subject"/>
    <w:basedOn w:val="CommentText"/>
    <w:next w:val="CommentText"/>
    <w:link w:val="CommentSubjectChar"/>
    <w:uiPriority w:val="99"/>
    <w:semiHidden/>
    <w:unhideWhenUsed/>
    <w:rsid w:val="000B3CEF"/>
    <w:rPr>
      <w:b/>
      <w:bCs/>
    </w:rPr>
  </w:style>
  <w:style w:type="character" w:customStyle="1" w:styleId="CommentSubjectChar">
    <w:name w:val="Comment Subject Char"/>
    <w:basedOn w:val="CommentTextChar"/>
    <w:link w:val="CommentSubject"/>
    <w:uiPriority w:val="99"/>
    <w:semiHidden/>
    <w:rsid w:val="000B3CEF"/>
    <w:rPr>
      <w:b/>
      <w:bCs/>
      <w:sz w:val="20"/>
      <w:szCs w:val="20"/>
    </w:rPr>
  </w:style>
  <w:style w:type="paragraph" w:styleId="BalloonText">
    <w:name w:val="Balloon Text"/>
    <w:basedOn w:val="Normal"/>
    <w:link w:val="BalloonTextChar"/>
    <w:uiPriority w:val="99"/>
    <w:semiHidden/>
    <w:unhideWhenUsed/>
    <w:rsid w:val="000B3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EF"/>
    <w:rPr>
      <w:rFonts w:ascii="Segoe UI" w:hAnsi="Segoe UI" w:cs="Segoe UI"/>
      <w:sz w:val="18"/>
      <w:szCs w:val="18"/>
    </w:rPr>
  </w:style>
  <w:style w:type="table" w:styleId="GridTable4-Accent5">
    <w:name w:val="Grid Table 4 Accent 5"/>
    <w:basedOn w:val="Table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unhideWhenUsed/>
    <w:rsid w:val="00C41170"/>
    <w:pPr>
      <w:spacing w:after="0" w:line="240" w:lineRule="auto"/>
    </w:pPr>
    <w:rPr>
      <w:sz w:val="20"/>
      <w:szCs w:val="20"/>
    </w:rPr>
  </w:style>
  <w:style w:type="character" w:customStyle="1" w:styleId="FootnoteTextChar">
    <w:name w:val="Footnote Text Char"/>
    <w:basedOn w:val="DefaultParagraphFont"/>
    <w:link w:val="FootnoteText"/>
    <w:uiPriority w:val="99"/>
    <w:rsid w:val="00C41170"/>
    <w:rPr>
      <w:sz w:val="20"/>
      <w:szCs w:val="20"/>
    </w:rPr>
  </w:style>
  <w:style w:type="character" w:styleId="FootnoteReference">
    <w:name w:val="footnote reference"/>
    <w:basedOn w:val="DefaultParagraphFont"/>
    <w:uiPriority w:val="99"/>
    <w:semiHidden/>
    <w:unhideWhenUsed/>
    <w:rsid w:val="00C41170"/>
    <w:rPr>
      <w:vertAlign w:val="superscript"/>
    </w:rPr>
  </w:style>
  <w:style w:type="paragraph" w:styleId="Caption">
    <w:name w:val="caption"/>
    <w:basedOn w:val="Normal"/>
    <w:next w:val="Normal"/>
    <w:uiPriority w:val="35"/>
    <w:unhideWhenUsed/>
    <w:qFormat/>
    <w:rsid w:val="00715C70"/>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6255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6255F9"/>
  </w:style>
  <w:style w:type="paragraph" w:styleId="Footer">
    <w:name w:val="footer"/>
    <w:basedOn w:val="Normal"/>
    <w:link w:val="FooterChar"/>
    <w:uiPriority w:val="99"/>
    <w:unhideWhenUsed/>
    <w:rsid w:val="006255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6255F9"/>
  </w:style>
  <w:style w:type="table" w:styleId="PlainTable4">
    <w:name w:val="Plain Table 4"/>
    <w:basedOn w:val="TableNormal"/>
    <w:uiPriority w:val="44"/>
    <w:rsid w:val="00B24B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28413D"/>
    <w:rPr>
      <w:rFonts w:ascii="Calibri" w:hAnsi="Calibri" w:cs="Calibri" w:hint="default"/>
      <w:b w:val="0"/>
      <w:bCs w:val="0"/>
      <w:i w:val="0"/>
      <w:iCs w:val="0"/>
      <w:color w:val="000000"/>
      <w:sz w:val="24"/>
      <w:szCs w:val="24"/>
    </w:rPr>
  </w:style>
  <w:style w:type="character" w:styleId="FollowedHyperlink">
    <w:name w:val="FollowedHyperlink"/>
    <w:basedOn w:val="DefaultParagraphFont"/>
    <w:uiPriority w:val="99"/>
    <w:semiHidden/>
    <w:unhideWhenUsed/>
    <w:rsid w:val="00615063"/>
    <w:rPr>
      <w:color w:val="954F72" w:themeColor="followedHyperlink"/>
      <w:u w:val="single"/>
    </w:rPr>
  </w:style>
  <w:style w:type="paragraph" w:styleId="Revision">
    <w:name w:val="Revision"/>
    <w:hidden/>
    <w:uiPriority w:val="99"/>
    <w:semiHidden/>
    <w:rsid w:val="00C60020"/>
    <w:pPr>
      <w:spacing w:after="0" w:line="240" w:lineRule="auto"/>
    </w:pPr>
  </w:style>
  <w:style w:type="character" w:styleId="UnresolvedMention">
    <w:name w:val="Unresolved Mention"/>
    <w:basedOn w:val="DefaultParagraphFont"/>
    <w:uiPriority w:val="99"/>
    <w:semiHidden/>
    <w:unhideWhenUsed/>
    <w:rsid w:val="0005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327">
      <w:bodyDiv w:val="1"/>
      <w:marLeft w:val="0"/>
      <w:marRight w:val="0"/>
      <w:marTop w:val="0"/>
      <w:marBottom w:val="0"/>
      <w:divBdr>
        <w:top w:val="none" w:sz="0" w:space="0" w:color="auto"/>
        <w:left w:val="none" w:sz="0" w:space="0" w:color="auto"/>
        <w:bottom w:val="none" w:sz="0" w:space="0" w:color="auto"/>
        <w:right w:val="none" w:sz="0" w:space="0" w:color="auto"/>
      </w:divBdr>
    </w:div>
    <w:div w:id="75252757">
      <w:bodyDiv w:val="1"/>
      <w:marLeft w:val="0"/>
      <w:marRight w:val="0"/>
      <w:marTop w:val="0"/>
      <w:marBottom w:val="0"/>
      <w:divBdr>
        <w:top w:val="none" w:sz="0" w:space="0" w:color="auto"/>
        <w:left w:val="none" w:sz="0" w:space="0" w:color="auto"/>
        <w:bottom w:val="none" w:sz="0" w:space="0" w:color="auto"/>
        <w:right w:val="none" w:sz="0" w:space="0" w:color="auto"/>
      </w:divBdr>
    </w:div>
    <w:div w:id="76831306">
      <w:bodyDiv w:val="1"/>
      <w:marLeft w:val="0"/>
      <w:marRight w:val="0"/>
      <w:marTop w:val="0"/>
      <w:marBottom w:val="0"/>
      <w:divBdr>
        <w:top w:val="none" w:sz="0" w:space="0" w:color="auto"/>
        <w:left w:val="none" w:sz="0" w:space="0" w:color="auto"/>
        <w:bottom w:val="none" w:sz="0" w:space="0" w:color="auto"/>
        <w:right w:val="none" w:sz="0" w:space="0" w:color="auto"/>
      </w:divBdr>
    </w:div>
    <w:div w:id="126582778">
      <w:bodyDiv w:val="1"/>
      <w:marLeft w:val="0"/>
      <w:marRight w:val="0"/>
      <w:marTop w:val="0"/>
      <w:marBottom w:val="0"/>
      <w:divBdr>
        <w:top w:val="none" w:sz="0" w:space="0" w:color="auto"/>
        <w:left w:val="none" w:sz="0" w:space="0" w:color="auto"/>
        <w:bottom w:val="none" w:sz="0" w:space="0" w:color="auto"/>
        <w:right w:val="none" w:sz="0" w:space="0" w:color="auto"/>
      </w:divBdr>
    </w:div>
    <w:div w:id="131800233">
      <w:bodyDiv w:val="1"/>
      <w:marLeft w:val="0"/>
      <w:marRight w:val="0"/>
      <w:marTop w:val="0"/>
      <w:marBottom w:val="0"/>
      <w:divBdr>
        <w:top w:val="none" w:sz="0" w:space="0" w:color="auto"/>
        <w:left w:val="none" w:sz="0" w:space="0" w:color="auto"/>
        <w:bottom w:val="none" w:sz="0" w:space="0" w:color="auto"/>
        <w:right w:val="none" w:sz="0" w:space="0" w:color="auto"/>
      </w:divBdr>
    </w:div>
    <w:div w:id="134371473">
      <w:bodyDiv w:val="1"/>
      <w:marLeft w:val="0"/>
      <w:marRight w:val="0"/>
      <w:marTop w:val="0"/>
      <w:marBottom w:val="0"/>
      <w:divBdr>
        <w:top w:val="none" w:sz="0" w:space="0" w:color="auto"/>
        <w:left w:val="none" w:sz="0" w:space="0" w:color="auto"/>
        <w:bottom w:val="none" w:sz="0" w:space="0" w:color="auto"/>
        <w:right w:val="none" w:sz="0" w:space="0" w:color="auto"/>
      </w:divBdr>
    </w:div>
    <w:div w:id="140587548">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80631390">
      <w:bodyDiv w:val="1"/>
      <w:marLeft w:val="0"/>
      <w:marRight w:val="0"/>
      <w:marTop w:val="0"/>
      <w:marBottom w:val="0"/>
      <w:divBdr>
        <w:top w:val="none" w:sz="0" w:space="0" w:color="auto"/>
        <w:left w:val="none" w:sz="0" w:space="0" w:color="auto"/>
        <w:bottom w:val="none" w:sz="0" w:space="0" w:color="auto"/>
        <w:right w:val="none" w:sz="0" w:space="0" w:color="auto"/>
      </w:divBdr>
    </w:div>
    <w:div w:id="187721825">
      <w:bodyDiv w:val="1"/>
      <w:marLeft w:val="0"/>
      <w:marRight w:val="0"/>
      <w:marTop w:val="0"/>
      <w:marBottom w:val="0"/>
      <w:divBdr>
        <w:top w:val="none" w:sz="0" w:space="0" w:color="auto"/>
        <w:left w:val="none" w:sz="0" w:space="0" w:color="auto"/>
        <w:bottom w:val="none" w:sz="0" w:space="0" w:color="auto"/>
        <w:right w:val="none" w:sz="0" w:space="0" w:color="auto"/>
      </w:divBdr>
    </w:div>
    <w:div w:id="200900501">
      <w:bodyDiv w:val="1"/>
      <w:marLeft w:val="0"/>
      <w:marRight w:val="0"/>
      <w:marTop w:val="0"/>
      <w:marBottom w:val="0"/>
      <w:divBdr>
        <w:top w:val="none" w:sz="0" w:space="0" w:color="auto"/>
        <w:left w:val="none" w:sz="0" w:space="0" w:color="auto"/>
        <w:bottom w:val="none" w:sz="0" w:space="0" w:color="auto"/>
        <w:right w:val="none" w:sz="0" w:space="0" w:color="auto"/>
      </w:divBdr>
    </w:div>
    <w:div w:id="203753327">
      <w:bodyDiv w:val="1"/>
      <w:marLeft w:val="0"/>
      <w:marRight w:val="0"/>
      <w:marTop w:val="0"/>
      <w:marBottom w:val="0"/>
      <w:divBdr>
        <w:top w:val="none" w:sz="0" w:space="0" w:color="auto"/>
        <w:left w:val="none" w:sz="0" w:space="0" w:color="auto"/>
        <w:bottom w:val="none" w:sz="0" w:space="0" w:color="auto"/>
        <w:right w:val="none" w:sz="0" w:space="0" w:color="auto"/>
      </w:divBdr>
    </w:div>
    <w:div w:id="205022554">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64270302">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288367366">
      <w:bodyDiv w:val="1"/>
      <w:marLeft w:val="0"/>
      <w:marRight w:val="0"/>
      <w:marTop w:val="0"/>
      <w:marBottom w:val="0"/>
      <w:divBdr>
        <w:top w:val="none" w:sz="0" w:space="0" w:color="auto"/>
        <w:left w:val="none" w:sz="0" w:space="0" w:color="auto"/>
        <w:bottom w:val="none" w:sz="0" w:space="0" w:color="auto"/>
        <w:right w:val="none" w:sz="0" w:space="0" w:color="auto"/>
      </w:divBdr>
    </w:div>
    <w:div w:id="306978843">
      <w:bodyDiv w:val="1"/>
      <w:marLeft w:val="0"/>
      <w:marRight w:val="0"/>
      <w:marTop w:val="0"/>
      <w:marBottom w:val="0"/>
      <w:divBdr>
        <w:top w:val="none" w:sz="0" w:space="0" w:color="auto"/>
        <w:left w:val="none" w:sz="0" w:space="0" w:color="auto"/>
        <w:bottom w:val="none" w:sz="0" w:space="0" w:color="auto"/>
        <w:right w:val="none" w:sz="0" w:space="0" w:color="auto"/>
      </w:divBdr>
    </w:div>
    <w:div w:id="317807095">
      <w:bodyDiv w:val="1"/>
      <w:marLeft w:val="0"/>
      <w:marRight w:val="0"/>
      <w:marTop w:val="0"/>
      <w:marBottom w:val="0"/>
      <w:divBdr>
        <w:top w:val="none" w:sz="0" w:space="0" w:color="auto"/>
        <w:left w:val="none" w:sz="0" w:space="0" w:color="auto"/>
        <w:bottom w:val="none" w:sz="0" w:space="0" w:color="auto"/>
        <w:right w:val="none" w:sz="0" w:space="0" w:color="auto"/>
      </w:divBdr>
    </w:div>
    <w:div w:id="322395177">
      <w:bodyDiv w:val="1"/>
      <w:marLeft w:val="0"/>
      <w:marRight w:val="0"/>
      <w:marTop w:val="0"/>
      <w:marBottom w:val="0"/>
      <w:divBdr>
        <w:top w:val="none" w:sz="0" w:space="0" w:color="auto"/>
        <w:left w:val="none" w:sz="0" w:space="0" w:color="auto"/>
        <w:bottom w:val="none" w:sz="0" w:space="0" w:color="auto"/>
        <w:right w:val="none" w:sz="0" w:space="0" w:color="auto"/>
      </w:divBdr>
    </w:div>
    <w:div w:id="328365181">
      <w:bodyDiv w:val="1"/>
      <w:marLeft w:val="0"/>
      <w:marRight w:val="0"/>
      <w:marTop w:val="0"/>
      <w:marBottom w:val="0"/>
      <w:divBdr>
        <w:top w:val="none" w:sz="0" w:space="0" w:color="auto"/>
        <w:left w:val="none" w:sz="0" w:space="0" w:color="auto"/>
        <w:bottom w:val="none" w:sz="0" w:space="0" w:color="auto"/>
        <w:right w:val="none" w:sz="0" w:space="0" w:color="auto"/>
      </w:divBdr>
    </w:div>
    <w:div w:id="341930603">
      <w:bodyDiv w:val="1"/>
      <w:marLeft w:val="0"/>
      <w:marRight w:val="0"/>
      <w:marTop w:val="0"/>
      <w:marBottom w:val="0"/>
      <w:divBdr>
        <w:top w:val="none" w:sz="0" w:space="0" w:color="auto"/>
        <w:left w:val="none" w:sz="0" w:space="0" w:color="auto"/>
        <w:bottom w:val="none" w:sz="0" w:space="0" w:color="auto"/>
        <w:right w:val="none" w:sz="0" w:space="0" w:color="auto"/>
      </w:divBdr>
    </w:div>
    <w:div w:id="354619709">
      <w:bodyDiv w:val="1"/>
      <w:marLeft w:val="0"/>
      <w:marRight w:val="0"/>
      <w:marTop w:val="0"/>
      <w:marBottom w:val="0"/>
      <w:divBdr>
        <w:top w:val="none" w:sz="0" w:space="0" w:color="auto"/>
        <w:left w:val="none" w:sz="0" w:space="0" w:color="auto"/>
        <w:bottom w:val="none" w:sz="0" w:space="0" w:color="auto"/>
        <w:right w:val="none" w:sz="0" w:space="0" w:color="auto"/>
      </w:divBdr>
    </w:div>
    <w:div w:id="422410524">
      <w:bodyDiv w:val="1"/>
      <w:marLeft w:val="0"/>
      <w:marRight w:val="0"/>
      <w:marTop w:val="0"/>
      <w:marBottom w:val="0"/>
      <w:divBdr>
        <w:top w:val="none" w:sz="0" w:space="0" w:color="auto"/>
        <w:left w:val="none" w:sz="0" w:space="0" w:color="auto"/>
        <w:bottom w:val="none" w:sz="0" w:space="0" w:color="auto"/>
        <w:right w:val="none" w:sz="0" w:space="0" w:color="auto"/>
      </w:divBdr>
    </w:div>
    <w:div w:id="435758425">
      <w:bodyDiv w:val="1"/>
      <w:marLeft w:val="0"/>
      <w:marRight w:val="0"/>
      <w:marTop w:val="0"/>
      <w:marBottom w:val="0"/>
      <w:divBdr>
        <w:top w:val="none" w:sz="0" w:space="0" w:color="auto"/>
        <w:left w:val="none" w:sz="0" w:space="0" w:color="auto"/>
        <w:bottom w:val="none" w:sz="0" w:space="0" w:color="auto"/>
        <w:right w:val="none" w:sz="0" w:space="0" w:color="auto"/>
      </w:divBdr>
    </w:div>
    <w:div w:id="438183413">
      <w:bodyDiv w:val="1"/>
      <w:marLeft w:val="0"/>
      <w:marRight w:val="0"/>
      <w:marTop w:val="0"/>
      <w:marBottom w:val="0"/>
      <w:divBdr>
        <w:top w:val="none" w:sz="0" w:space="0" w:color="auto"/>
        <w:left w:val="none" w:sz="0" w:space="0" w:color="auto"/>
        <w:bottom w:val="none" w:sz="0" w:space="0" w:color="auto"/>
        <w:right w:val="none" w:sz="0" w:space="0" w:color="auto"/>
      </w:divBdr>
    </w:div>
    <w:div w:id="467090446">
      <w:bodyDiv w:val="1"/>
      <w:marLeft w:val="0"/>
      <w:marRight w:val="0"/>
      <w:marTop w:val="0"/>
      <w:marBottom w:val="0"/>
      <w:divBdr>
        <w:top w:val="none" w:sz="0" w:space="0" w:color="auto"/>
        <w:left w:val="none" w:sz="0" w:space="0" w:color="auto"/>
        <w:bottom w:val="none" w:sz="0" w:space="0" w:color="auto"/>
        <w:right w:val="none" w:sz="0" w:space="0" w:color="auto"/>
      </w:divBdr>
    </w:div>
    <w:div w:id="485362742">
      <w:bodyDiv w:val="1"/>
      <w:marLeft w:val="0"/>
      <w:marRight w:val="0"/>
      <w:marTop w:val="0"/>
      <w:marBottom w:val="0"/>
      <w:divBdr>
        <w:top w:val="none" w:sz="0" w:space="0" w:color="auto"/>
        <w:left w:val="none" w:sz="0" w:space="0" w:color="auto"/>
        <w:bottom w:val="none" w:sz="0" w:space="0" w:color="auto"/>
        <w:right w:val="none" w:sz="0" w:space="0" w:color="auto"/>
      </w:divBdr>
    </w:div>
    <w:div w:id="493227314">
      <w:bodyDiv w:val="1"/>
      <w:marLeft w:val="0"/>
      <w:marRight w:val="0"/>
      <w:marTop w:val="0"/>
      <w:marBottom w:val="0"/>
      <w:divBdr>
        <w:top w:val="none" w:sz="0" w:space="0" w:color="auto"/>
        <w:left w:val="none" w:sz="0" w:space="0" w:color="auto"/>
        <w:bottom w:val="none" w:sz="0" w:space="0" w:color="auto"/>
        <w:right w:val="none" w:sz="0" w:space="0" w:color="auto"/>
      </w:divBdr>
    </w:div>
    <w:div w:id="512034197">
      <w:bodyDiv w:val="1"/>
      <w:marLeft w:val="0"/>
      <w:marRight w:val="0"/>
      <w:marTop w:val="0"/>
      <w:marBottom w:val="0"/>
      <w:divBdr>
        <w:top w:val="none" w:sz="0" w:space="0" w:color="auto"/>
        <w:left w:val="none" w:sz="0" w:space="0" w:color="auto"/>
        <w:bottom w:val="none" w:sz="0" w:space="0" w:color="auto"/>
        <w:right w:val="none" w:sz="0" w:space="0" w:color="auto"/>
      </w:divBdr>
    </w:div>
    <w:div w:id="518157817">
      <w:bodyDiv w:val="1"/>
      <w:marLeft w:val="0"/>
      <w:marRight w:val="0"/>
      <w:marTop w:val="0"/>
      <w:marBottom w:val="0"/>
      <w:divBdr>
        <w:top w:val="none" w:sz="0" w:space="0" w:color="auto"/>
        <w:left w:val="none" w:sz="0" w:space="0" w:color="auto"/>
        <w:bottom w:val="none" w:sz="0" w:space="0" w:color="auto"/>
        <w:right w:val="none" w:sz="0" w:space="0" w:color="auto"/>
      </w:divBdr>
    </w:div>
    <w:div w:id="527567639">
      <w:bodyDiv w:val="1"/>
      <w:marLeft w:val="0"/>
      <w:marRight w:val="0"/>
      <w:marTop w:val="0"/>
      <w:marBottom w:val="0"/>
      <w:divBdr>
        <w:top w:val="none" w:sz="0" w:space="0" w:color="auto"/>
        <w:left w:val="none" w:sz="0" w:space="0" w:color="auto"/>
        <w:bottom w:val="none" w:sz="0" w:space="0" w:color="auto"/>
        <w:right w:val="none" w:sz="0" w:space="0" w:color="auto"/>
      </w:divBdr>
    </w:div>
    <w:div w:id="561257246">
      <w:bodyDiv w:val="1"/>
      <w:marLeft w:val="0"/>
      <w:marRight w:val="0"/>
      <w:marTop w:val="0"/>
      <w:marBottom w:val="0"/>
      <w:divBdr>
        <w:top w:val="none" w:sz="0" w:space="0" w:color="auto"/>
        <w:left w:val="none" w:sz="0" w:space="0" w:color="auto"/>
        <w:bottom w:val="none" w:sz="0" w:space="0" w:color="auto"/>
        <w:right w:val="none" w:sz="0" w:space="0" w:color="auto"/>
      </w:divBdr>
    </w:div>
    <w:div w:id="573467354">
      <w:bodyDiv w:val="1"/>
      <w:marLeft w:val="0"/>
      <w:marRight w:val="0"/>
      <w:marTop w:val="0"/>
      <w:marBottom w:val="0"/>
      <w:divBdr>
        <w:top w:val="none" w:sz="0" w:space="0" w:color="auto"/>
        <w:left w:val="none" w:sz="0" w:space="0" w:color="auto"/>
        <w:bottom w:val="none" w:sz="0" w:space="0" w:color="auto"/>
        <w:right w:val="none" w:sz="0" w:space="0" w:color="auto"/>
      </w:divBdr>
    </w:div>
    <w:div w:id="577060508">
      <w:bodyDiv w:val="1"/>
      <w:marLeft w:val="0"/>
      <w:marRight w:val="0"/>
      <w:marTop w:val="0"/>
      <w:marBottom w:val="0"/>
      <w:divBdr>
        <w:top w:val="none" w:sz="0" w:space="0" w:color="auto"/>
        <w:left w:val="none" w:sz="0" w:space="0" w:color="auto"/>
        <w:bottom w:val="none" w:sz="0" w:space="0" w:color="auto"/>
        <w:right w:val="none" w:sz="0" w:space="0" w:color="auto"/>
      </w:divBdr>
    </w:div>
    <w:div w:id="613946961">
      <w:bodyDiv w:val="1"/>
      <w:marLeft w:val="0"/>
      <w:marRight w:val="0"/>
      <w:marTop w:val="0"/>
      <w:marBottom w:val="0"/>
      <w:divBdr>
        <w:top w:val="none" w:sz="0" w:space="0" w:color="auto"/>
        <w:left w:val="none" w:sz="0" w:space="0" w:color="auto"/>
        <w:bottom w:val="none" w:sz="0" w:space="0" w:color="auto"/>
        <w:right w:val="none" w:sz="0" w:space="0" w:color="auto"/>
      </w:divBdr>
    </w:div>
    <w:div w:id="623510512">
      <w:bodyDiv w:val="1"/>
      <w:marLeft w:val="0"/>
      <w:marRight w:val="0"/>
      <w:marTop w:val="0"/>
      <w:marBottom w:val="0"/>
      <w:divBdr>
        <w:top w:val="none" w:sz="0" w:space="0" w:color="auto"/>
        <w:left w:val="none" w:sz="0" w:space="0" w:color="auto"/>
        <w:bottom w:val="none" w:sz="0" w:space="0" w:color="auto"/>
        <w:right w:val="none" w:sz="0" w:space="0" w:color="auto"/>
      </w:divBdr>
    </w:div>
    <w:div w:id="656148041">
      <w:bodyDiv w:val="1"/>
      <w:marLeft w:val="0"/>
      <w:marRight w:val="0"/>
      <w:marTop w:val="0"/>
      <w:marBottom w:val="0"/>
      <w:divBdr>
        <w:top w:val="none" w:sz="0" w:space="0" w:color="auto"/>
        <w:left w:val="none" w:sz="0" w:space="0" w:color="auto"/>
        <w:bottom w:val="none" w:sz="0" w:space="0" w:color="auto"/>
        <w:right w:val="none" w:sz="0" w:space="0" w:color="auto"/>
      </w:divBdr>
    </w:div>
    <w:div w:id="680013615">
      <w:bodyDiv w:val="1"/>
      <w:marLeft w:val="0"/>
      <w:marRight w:val="0"/>
      <w:marTop w:val="0"/>
      <w:marBottom w:val="0"/>
      <w:divBdr>
        <w:top w:val="none" w:sz="0" w:space="0" w:color="auto"/>
        <w:left w:val="none" w:sz="0" w:space="0" w:color="auto"/>
        <w:bottom w:val="none" w:sz="0" w:space="0" w:color="auto"/>
        <w:right w:val="none" w:sz="0" w:space="0" w:color="auto"/>
      </w:divBdr>
    </w:div>
    <w:div w:id="689914755">
      <w:bodyDiv w:val="1"/>
      <w:marLeft w:val="0"/>
      <w:marRight w:val="0"/>
      <w:marTop w:val="0"/>
      <w:marBottom w:val="0"/>
      <w:divBdr>
        <w:top w:val="none" w:sz="0" w:space="0" w:color="auto"/>
        <w:left w:val="none" w:sz="0" w:space="0" w:color="auto"/>
        <w:bottom w:val="none" w:sz="0" w:space="0" w:color="auto"/>
        <w:right w:val="none" w:sz="0" w:space="0" w:color="auto"/>
      </w:divBdr>
    </w:div>
    <w:div w:id="703287336">
      <w:bodyDiv w:val="1"/>
      <w:marLeft w:val="0"/>
      <w:marRight w:val="0"/>
      <w:marTop w:val="0"/>
      <w:marBottom w:val="0"/>
      <w:divBdr>
        <w:top w:val="none" w:sz="0" w:space="0" w:color="auto"/>
        <w:left w:val="none" w:sz="0" w:space="0" w:color="auto"/>
        <w:bottom w:val="none" w:sz="0" w:space="0" w:color="auto"/>
        <w:right w:val="none" w:sz="0" w:space="0" w:color="auto"/>
      </w:divBdr>
    </w:div>
    <w:div w:id="727652568">
      <w:bodyDiv w:val="1"/>
      <w:marLeft w:val="0"/>
      <w:marRight w:val="0"/>
      <w:marTop w:val="0"/>
      <w:marBottom w:val="0"/>
      <w:divBdr>
        <w:top w:val="none" w:sz="0" w:space="0" w:color="auto"/>
        <w:left w:val="none" w:sz="0" w:space="0" w:color="auto"/>
        <w:bottom w:val="none" w:sz="0" w:space="0" w:color="auto"/>
        <w:right w:val="none" w:sz="0" w:space="0" w:color="auto"/>
      </w:divBdr>
    </w:div>
    <w:div w:id="733940445">
      <w:bodyDiv w:val="1"/>
      <w:marLeft w:val="0"/>
      <w:marRight w:val="0"/>
      <w:marTop w:val="0"/>
      <w:marBottom w:val="0"/>
      <w:divBdr>
        <w:top w:val="none" w:sz="0" w:space="0" w:color="auto"/>
        <w:left w:val="none" w:sz="0" w:space="0" w:color="auto"/>
        <w:bottom w:val="none" w:sz="0" w:space="0" w:color="auto"/>
        <w:right w:val="none" w:sz="0" w:space="0" w:color="auto"/>
      </w:divBdr>
    </w:div>
    <w:div w:id="754672087">
      <w:bodyDiv w:val="1"/>
      <w:marLeft w:val="0"/>
      <w:marRight w:val="0"/>
      <w:marTop w:val="0"/>
      <w:marBottom w:val="0"/>
      <w:divBdr>
        <w:top w:val="none" w:sz="0" w:space="0" w:color="auto"/>
        <w:left w:val="none" w:sz="0" w:space="0" w:color="auto"/>
        <w:bottom w:val="none" w:sz="0" w:space="0" w:color="auto"/>
        <w:right w:val="none" w:sz="0" w:space="0" w:color="auto"/>
      </w:divBdr>
    </w:div>
    <w:div w:id="759373028">
      <w:bodyDiv w:val="1"/>
      <w:marLeft w:val="0"/>
      <w:marRight w:val="0"/>
      <w:marTop w:val="0"/>
      <w:marBottom w:val="0"/>
      <w:divBdr>
        <w:top w:val="none" w:sz="0" w:space="0" w:color="auto"/>
        <w:left w:val="none" w:sz="0" w:space="0" w:color="auto"/>
        <w:bottom w:val="none" w:sz="0" w:space="0" w:color="auto"/>
        <w:right w:val="none" w:sz="0" w:space="0" w:color="auto"/>
      </w:divBdr>
    </w:div>
    <w:div w:id="761994810">
      <w:bodyDiv w:val="1"/>
      <w:marLeft w:val="0"/>
      <w:marRight w:val="0"/>
      <w:marTop w:val="0"/>
      <w:marBottom w:val="0"/>
      <w:divBdr>
        <w:top w:val="none" w:sz="0" w:space="0" w:color="auto"/>
        <w:left w:val="none" w:sz="0" w:space="0" w:color="auto"/>
        <w:bottom w:val="none" w:sz="0" w:space="0" w:color="auto"/>
        <w:right w:val="none" w:sz="0" w:space="0" w:color="auto"/>
      </w:divBdr>
    </w:div>
    <w:div w:id="765419680">
      <w:bodyDiv w:val="1"/>
      <w:marLeft w:val="0"/>
      <w:marRight w:val="0"/>
      <w:marTop w:val="0"/>
      <w:marBottom w:val="0"/>
      <w:divBdr>
        <w:top w:val="none" w:sz="0" w:space="0" w:color="auto"/>
        <w:left w:val="none" w:sz="0" w:space="0" w:color="auto"/>
        <w:bottom w:val="none" w:sz="0" w:space="0" w:color="auto"/>
        <w:right w:val="none" w:sz="0" w:space="0" w:color="auto"/>
      </w:divBdr>
    </w:div>
    <w:div w:id="772437185">
      <w:bodyDiv w:val="1"/>
      <w:marLeft w:val="0"/>
      <w:marRight w:val="0"/>
      <w:marTop w:val="0"/>
      <w:marBottom w:val="0"/>
      <w:divBdr>
        <w:top w:val="none" w:sz="0" w:space="0" w:color="auto"/>
        <w:left w:val="none" w:sz="0" w:space="0" w:color="auto"/>
        <w:bottom w:val="none" w:sz="0" w:space="0" w:color="auto"/>
        <w:right w:val="none" w:sz="0" w:space="0" w:color="auto"/>
      </w:divBdr>
    </w:div>
    <w:div w:id="797602055">
      <w:bodyDiv w:val="1"/>
      <w:marLeft w:val="0"/>
      <w:marRight w:val="0"/>
      <w:marTop w:val="0"/>
      <w:marBottom w:val="0"/>
      <w:divBdr>
        <w:top w:val="none" w:sz="0" w:space="0" w:color="auto"/>
        <w:left w:val="none" w:sz="0" w:space="0" w:color="auto"/>
        <w:bottom w:val="none" w:sz="0" w:space="0" w:color="auto"/>
        <w:right w:val="none" w:sz="0" w:space="0" w:color="auto"/>
      </w:divBdr>
    </w:div>
    <w:div w:id="803155880">
      <w:bodyDiv w:val="1"/>
      <w:marLeft w:val="0"/>
      <w:marRight w:val="0"/>
      <w:marTop w:val="0"/>
      <w:marBottom w:val="0"/>
      <w:divBdr>
        <w:top w:val="none" w:sz="0" w:space="0" w:color="auto"/>
        <w:left w:val="none" w:sz="0" w:space="0" w:color="auto"/>
        <w:bottom w:val="none" w:sz="0" w:space="0" w:color="auto"/>
        <w:right w:val="none" w:sz="0" w:space="0" w:color="auto"/>
      </w:divBdr>
    </w:div>
    <w:div w:id="808861413">
      <w:bodyDiv w:val="1"/>
      <w:marLeft w:val="0"/>
      <w:marRight w:val="0"/>
      <w:marTop w:val="0"/>
      <w:marBottom w:val="0"/>
      <w:divBdr>
        <w:top w:val="none" w:sz="0" w:space="0" w:color="auto"/>
        <w:left w:val="none" w:sz="0" w:space="0" w:color="auto"/>
        <w:bottom w:val="none" w:sz="0" w:space="0" w:color="auto"/>
        <w:right w:val="none" w:sz="0" w:space="0" w:color="auto"/>
      </w:divBdr>
    </w:div>
    <w:div w:id="829448749">
      <w:bodyDiv w:val="1"/>
      <w:marLeft w:val="0"/>
      <w:marRight w:val="0"/>
      <w:marTop w:val="0"/>
      <w:marBottom w:val="0"/>
      <w:divBdr>
        <w:top w:val="none" w:sz="0" w:space="0" w:color="auto"/>
        <w:left w:val="none" w:sz="0" w:space="0" w:color="auto"/>
        <w:bottom w:val="none" w:sz="0" w:space="0" w:color="auto"/>
        <w:right w:val="none" w:sz="0" w:space="0" w:color="auto"/>
      </w:divBdr>
    </w:div>
    <w:div w:id="836459504">
      <w:bodyDiv w:val="1"/>
      <w:marLeft w:val="0"/>
      <w:marRight w:val="0"/>
      <w:marTop w:val="0"/>
      <w:marBottom w:val="0"/>
      <w:divBdr>
        <w:top w:val="none" w:sz="0" w:space="0" w:color="auto"/>
        <w:left w:val="none" w:sz="0" w:space="0" w:color="auto"/>
        <w:bottom w:val="none" w:sz="0" w:space="0" w:color="auto"/>
        <w:right w:val="none" w:sz="0" w:space="0" w:color="auto"/>
      </w:divBdr>
    </w:div>
    <w:div w:id="844395633">
      <w:bodyDiv w:val="1"/>
      <w:marLeft w:val="0"/>
      <w:marRight w:val="0"/>
      <w:marTop w:val="0"/>
      <w:marBottom w:val="0"/>
      <w:divBdr>
        <w:top w:val="none" w:sz="0" w:space="0" w:color="auto"/>
        <w:left w:val="none" w:sz="0" w:space="0" w:color="auto"/>
        <w:bottom w:val="none" w:sz="0" w:space="0" w:color="auto"/>
        <w:right w:val="none" w:sz="0" w:space="0" w:color="auto"/>
      </w:divBdr>
    </w:div>
    <w:div w:id="891766869">
      <w:bodyDiv w:val="1"/>
      <w:marLeft w:val="0"/>
      <w:marRight w:val="0"/>
      <w:marTop w:val="0"/>
      <w:marBottom w:val="0"/>
      <w:divBdr>
        <w:top w:val="none" w:sz="0" w:space="0" w:color="auto"/>
        <w:left w:val="none" w:sz="0" w:space="0" w:color="auto"/>
        <w:bottom w:val="none" w:sz="0" w:space="0" w:color="auto"/>
        <w:right w:val="none" w:sz="0" w:space="0" w:color="auto"/>
      </w:divBdr>
    </w:div>
    <w:div w:id="893543838">
      <w:bodyDiv w:val="1"/>
      <w:marLeft w:val="0"/>
      <w:marRight w:val="0"/>
      <w:marTop w:val="0"/>
      <w:marBottom w:val="0"/>
      <w:divBdr>
        <w:top w:val="none" w:sz="0" w:space="0" w:color="auto"/>
        <w:left w:val="none" w:sz="0" w:space="0" w:color="auto"/>
        <w:bottom w:val="none" w:sz="0" w:space="0" w:color="auto"/>
        <w:right w:val="none" w:sz="0" w:space="0" w:color="auto"/>
      </w:divBdr>
    </w:div>
    <w:div w:id="895287687">
      <w:bodyDiv w:val="1"/>
      <w:marLeft w:val="0"/>
      <w:marRight w:val="0"/>
      <w:marTop w:val="0"/>
      <w:marBottom w:val="0"/>
      <w:divBdr>
        <w:top w:val="none" w:sz="0" w:space="0" w:color="auto"/>
        <w:left w:val="none" w:sz="0" w:space="0" w:color="auto"/>
        <w:bottom w:val="none" w:sz="0" w:space="0" w:color="auto"/>
        <w:right w:val="none" w:sz="0" w:space="0" w:color="auto"/>
      </w:divBdr>
      <w:divsChild>
        <w:div w:id="1247767247">
          <w:marLeft w:val="0"/>
          <w:marRight w:val="0"/>
          <w:marTop w:val="100"/>
          <w:marBottom w:val="0"/>
          <w:divBdr>
            <w:top w:val="none" w:sz="0" w:space="0" w:color="auto"/>
            <w:left w:val="none" w:sz="0" w:space="0" w:color="auto"/>
            <w:bottom w:val="none" w:sz="0" w:space="0" w:color="auto"/>
            <w:right w:val="none" w:sz="0" w:space="0" w:color="auto"/>
          </w:divBdr>
          <w:divsChild>
            <w:div w:id="1752265494">
              <w:marLeft w:val="0"/>
              <w:marRight w:val="0"/>
              <w:marTop w:val="60"/>
              <w:marBottom w:val="0"/>
              <w:divBdr>
                <w:top w:val="none" w:sz="0" w:space="0" w:color="auto"/>
                <w:left w:val="none" w:sz="0" w:space="0" w:color="auto"/>
                <w:bottom w:val="none" w:sz="0" w:space="0" w:color="auto"/>
                <w:right w:val="none" w:sz="0" w:space="0" w:color="auto"/>
              </w:divBdr>
            </w:div>
          </w:divsChild>
        </w:div>
        <w:div w:id="946423244">
          <w:marLeft w:val="0"/>
          <w:marRight w:val="0"/>
          <w:marTop w:val="0"/>
          <w:marBottom w:val="0"/>
          <w:divBdr>
            <w:top w:val="none" w:sz="0" w:space="0" w:color="auto"/>
            <w:left w:val="none" w:sz="0" w:space="0" w:color="auto"/>
            <w:bottom w:val="none" w:sz="0" w:space="0" w:color="auto"/>
            <w:right w:val="none" w:sz="0" w:space="0" w:color="auto"/>
          </w:divBdr>
          <w:divsChild>
            <w:div w:id="712463300">
              <w:marLeft w:val="0"/>
              <w:marRight w:val="0"/>
              <w:marTop w:val="0"/>
              <w:marBottom w:val="0"/>
              <w:divBdr>
                <w:top w:val="none" w:sz="0" w:space="0" w:color="auto"/>
                <w:left w:val="none" w:sz="0" w:space="0" w:color="auto"/>
                <w:bottom w:val="none" w:sz="0" w:space="0" w:color="auto"/>
                <w:right w:val="none" w:sz="0" w:space="0" w:color="auto"/>
              </w:divBdr>
              <w:divsChild>
                <w:div w:id="8025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2726">
      <w:bodyDiv w:val="1"/>
      <w:marLeft w:val="0"/>
      <w:marRight w:val="0"/>
      <w:marTop w:val="0"/>
      <w:marBottom w:val="0"/>
      <w:divBdr>
        <w:top w:val="none" w:sz="0" w:space="0" w:color="auto"/>
        <w:left w:val="none" w:sz="0" w:space="0" w:color="auto"/>
        <w:bottom w:val="none" w:sz="0" w:space="0" w:color="auto"/>
        <w:right w:val="none" w:sz="0" w:space="0" w:color="auto"/>
      </w:divBdr>
    </w:div>
    <w:div w:id="900017454">
      <w:bodyDiv w:val="1"/>
      <w:marLeft w:val="0"/>
      <w:marRight w:val="0"/>
      <w:marTop w:val="0"/>
      <w:marBottom w:val="0"/>
      <w:divBdr>
        <w:top w:val="none" w:sz="0" w:space="0" w:color="auto"/>
        <w:left w:val="none" w:sz="0" w:space="0" w:color="auto"/>
        <w:bottom w:val="none" w:sz="0" w:space="0" w:color="auto"/>
        <w:right w:val="none" w:sz="0" w:space="0" w:color="auto"/>
      </w:divBdr>
    </w:div>
    <w:div w:id="913860260">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23341050">
      <w:bodyDiv w:val="1"/>
      <w:marLeft w:val="0"/>
      <w:marRight w:val="0"/>
      <w:marTop w:val="0"/>
      <w:marBottom w:val="0"/>
      <w:divBdr>
        <w:top w:val="none" w:sz="0" w:space="0" w:color="auto"/>
        <w:left w:val="none" w:sz="0" w:space="0" w:color="auto"/>
        <w:bottom w:val="none" w:sz="0" w:space="0" w:color="auto"/>
        <w:right w:val="none" w:sz="0" w:space="0" w:color="auto"/>
      </w:divBdr>
    </w:div>
    <w:div w:id="944118500">
      <w:bodyDiv w:val="1"/>
      <w:marLeft w:val="0"/>
      <w:marRight w:val="0"/>
      <w:marTop w:val="0"/>
      <w:marBottom w:val="0"/>
      <w:divBdr>
        <w:top w:val="none" w:sz="0" w:space="0" w:color="auto"/>
        <w:left w:val="none" w:sz="0" w:space="0" w:color="auto"/>
        <w:bottom w:val="none" w:sz="0" w:space="0" w:color="auto"/>
        <w:right w:val="none" w:sz="0" w:space="0" w:color="auto"/>
      </w:divBdr>
    </w:div>
    <w:div w:id="948898667">
      <w:bodyDiv w:val="1"/>
      <w:marLeft w:val="0"/>
      <w:marRight w:val="0"/>
      <w:marTop w:val="0"/>
      <w:marBottom w:val="0"/>
      <w:divBdr>
        <w:top w:val="none" w:sz="0" w:space="0" w:color="auto"/>
        <w:left w:val="none" w:sz="0" w:space="0" w:color="auto"/>
        <w:bottom w:val="none" w:sz="0" w:space="0" w:color="auto"/>
        <w:right w:val="none" w:sz="0" w:space="0" w:color="auto"/>
      </w:divBdr>
    </w:div>
    <w:div w:id="971640970">
      <w:bodyDiv w:val="1"/>
      <w:marLeft w:val="0"/>
      <w:marRight w:val="0"/>
      <w:marTop w:val="0"/>
      <w:marBottom w:val="0"/>
      <w:divBdr>
        <w:top w:val="none" w:sz="0" w:space="0" w:color="auto"/>
        <w:left w:val="none" w:sz="0" w:space="0" w:color="auto"/>
        <w:bottom w:val="none" w:sz="0" w:space="0" w:color="auto"/>
        <w:right w:val="none" w:sz="0" w:space="0" w:color="auto"/>
      </w:divBdr>
    </w:div>
    <w:div w:id="981159247">
      <w:bodyDiv w:val="1"/>
      <w:marLeft w:val="0"/>
      <w:marRight w:val="0"/>
      <w:marTop w:val="0"/>
      <w:marBottom w:val="0"/>
      <w:divBdr>
        <w:top w:val="none" w:sz="0" w:space="0" w:color="auto"/>
        <w:left w:val="none" w:sz="0" w:space="0" w:color="auto"/>
        <w:bottom w:val="none" w:sz="0" w:space="0" w:color="auto"/>
        <w:right w:val="none" w:sz="0" w:space="0" w:color="auto"/>
      </w:divBdr>
    </w:div>
    <w:div w:id="981734796">
      <w:bodyDiv w:val="1"/>
      <w:marLeft w:val="0"/>
      <w:marRight w:val="0"/>
      <w:marTop w:val="0"/>
      <w:marBottom w:val="0"/>
      <w:divBdr>
        <w:top w:val="none" w:sz="0" w:space="0" w:color="auto"/>
        <w:left w:val="none" w:sz="0" w:space="0" w:color="auto"/>
        <w:bottom w:val="none" w:sz="0" w:space="0" w:color="auto"/>
        <w:right w:val="none" w:sz="0" w:space="0" w:color="auto"/>
      </w:divBdr>
    </w:div>
    <w:div w:id="992486289">
      <w:bodyDiv w:val="1"/>
      <w:marLeft w:val="0"/>
      <w:marRight w:val="0"/>
      <w:marTop w:val="0"/>
      <w:marBottom w:val="0"/>
      <w:divBdr>
        <w:top w:val="none" w:sz="0" w:space="0" w:color="auto"/>
        <w:left w:val="none" w:sz="0" w:space="0" w:color="auto"/>
        <w:bottom w:val="none" w:sz="0" w:space="0" w:color="auto"/>
        <w:right w:val="none" w:sz="0" w:space="0" w:color="auto"/>
      </w:divBdr>
    </w:div>
    <w:div w:id="1013798069">
      <w:bodyDiv w:val="1"/>
      <w:marLeft w:val="0"/>
      <w:marRight w:val="0"/>
      <w:marTop w:val="0"/>
      <w:marBottom w:val="0"/>
      <w:divBdr>
        <w:top w:val="none" w:sz="0" w:space="0" w:color="auto"/>
        <w:left w:val="none" w:sz="0" w:space="0" w:color="auto"/>
        <w:bottom w:val="none" w:sz="0" w:space="0" w:color="auto"/>
        <w:right w:val="none" w:sz="0" w:space="0" w:color="auto"/>
      </w:divBdr>
    </w:div>
    <w:div w:id="1018194747">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70888255">
      <w:bodyDiv w:val="1"/>
      <w:marLeft w:val="0"/>
      <w:marRight w:val="0"/>
      <w:marTop w:val="0"/>
      <w:marBottom w:val="0"/>
      <w:divBdr>
        <w:top w:val="none" w:sz="0" w:space="0" w:color="auto"/>
        <w:left w:val="none" w:sz="0" w:space="0" w:color="auto"/>
        <w:bottom w:val="none" w:sz="0" w:space="0" w:color="auto"/>
        <w:right w:val="none" w:sz="0" w:space="0" w:color="auto"/>
      </w:divBdr>
    </w:div>
    <w:div w:id="1073623949">
      <w:bodyDiv w:val="1"/>
      <w:marLeft w:val="0"/>
      <w:marRight w:val="0"/>
      <w:marTop w:val="0"/>
      <w:marBottom w:val="0"/>
      <w:divBdr>
        <w:top w:val="none" w:sz="0" w:space="0" w:color="auto"/>
        <w:left w:val="none" w:sz="0" w:space="0" w:color="auto"/>
        <w:bottom w:val="none" w:sz="0" w:space="0" w:color="auto"/>
        <w:right w:val="none" w:sz="0" w:space="0" w:color="auto"/>
      </w:divBdr>
    </w:div>
    <w:div w:id="1096750938">
      <w:bodyDiv w:val="1"/>
      <w:marLeft w:val="0"/>
      <w:marRight w:val="0"/>
      <w:marTop w:val="0"/>
      <w:marBottom w:val="0"/>
      <w:divBdr>
        <w:top w:val="none" w:sz="0" w:space="0" w:color="auto"/>
        <w:left w:val="none" w:sz="0" w:space="0" w:color="auto"/>
        <w:bottom w:val="none" w:sz="0" w:space="0" w:color="auto"/>
        <w:right w:val="none" w:sz="0" w:space="0" w:color="auto"/>
      </w:divBdr>
    </w:div>
    <w:div w:id="1097016005">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3179279">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78471231">
      <w:bodyDiv w:val="1"/>
      <w:marLeft w:val="0"/>
      <w:marRight w:val="0"/>
      <w:marTop w:val="0"/>
      <w:marBottom w:val="0"/>
      <w:divBdr>
        <w:top w:val="none" w:sz="0" w:space="0" w:color="auto"/>
        <w:left w:val="none" w:sz="0" w:space="0" w:color="auto"/>
        <w:bottom w:val="none" w:sz="0" w:space="0" w:color="auto"/>
        <w:right w:val="none" w:sz="0" w:space="0" w:color="auto"/>
      </w:divBdr>
    </w:div>
    <w:div w:id="1189417732">
      <w:bodyDiv w:val="1"/>
      <w:marLeft w:val="0"/>
      <w:marRight w:val="0"/>
      <w:marTop w:val="0"/>
      <w:marBottom w:val="0"/>
      <w:divBdr>
        <w:top w:val="none" w:sz="0" w:space="0" w:color="auto"/>
        <w:left w:val="none" w:sz="0" w:space="0" w:color="auto"/>
        <w:bottom w:val="none" w:sz="0" w:space="0" w:color="auto"/>
        <w:right w:val="none" w:sz="0" w:space="0" w:color="auto"/>
      </w:divBdr>
    </w:div>
    <w:div w:id="1201894199">
      <w:bodyDiv w:val="1"/>
      <w:marLeft w:val="0"/>
      <w:marRight w:val="0"/>
      <w:marTop w:val="0"/>
      <w:marBottom w:val="0"/>
      <w:divBdr>
        <w:top w:val="none" w:sz="0" w:space="0" w:color="auto"/>
        <w:left w:val="none" w:sz="0" w:space="0" w:color="auto"/>
        <w:bottom w:val="none" w:sz="0" w:space="0" w:color="auto"/>
        <w:right w:val="none" w:sz="0" w:space="0" w:color="auto"/>
      </w:divBdr>
    </w:div>
    <w:div w:id="1222524556">
      <w:bodyDiv w:val="1"/>
      <w:marLeft w:val="0"/>
      <w:marRight w:val="0"/>
      <w:marTop w:val="0"/>
      <w:marBottom w:val="0"/>
      <w:divBdr>
        <w:top w:val="none" w:sz="0" w:space="0" w:color="auto"/>
        <w:left w:val="none" w:sz="0" w:space="0" w:color="auto"/>
        <w:bottom w:val="none" w:sz="0" w:space="0" w:color="auto"/>
        <w:right w:val="none" w:sz="0" w:space="0" w:color="auto"/>
      </w:divBdr>
    </w:div>
    <w:div w:id="1225023796">
      <w:bodyDiv w:val="1"/>
      <w:marLeft w:val="0"/>
      <w:marRight w:val="0"/>
      <w:marTop w:val="0"/>
      <w:marBottom w:val="0"/>
      <w:divBdr>
        <w:top w:val="none" w:sz="0" w:space="0" w:color="auto"/>
        <w:left w:val="none" w:sz="0" w:space="0" w:color="auto"/>
        <w:bottom w:val="none" w:sz="0" w:space="0" w:color="auto"/>
        <w:right w:val="none" w:sz="0" w:space="0" w:color="auto"/>
      </w:divBdr>
    </w:div>
    <w:div w:id="1271398426">
      <w:bodyDiv w:val="1"/>
      <w:marLeft w:val="0"/>
      <w:marRight w:val="0"/>
      <w:marTop w:val="0"/>
      <w:marBottom w:val="0"/>
      <w:divBdr>
        <w:top w:val="none" w:sz="0" w:space="0" w:color="auto"/>
        <w:left w:val="none" w:sz="0" w:space="0" w:color="auto"/>
        <w:bottom w:val="none" w:sz="0" w:space="0" w:color="auto"/>
        <w:right w:val="none" w:sz="0" w:space="0" w:color="auto"/>
      </w:divBdr>
    </w:div>
    <w:div w:id="1282035612">
      <w:bodyDiv w:val="1"/>
      <w:marLeft w:val="0"/>
      <w:marRight w:val="0"/>
      <w:marTop w:val="0"/>
      <w:marBottom w:val="0"/>
      <w:divBdr>
        <w:top w:val="none" w:sz="0" w:space="0" w:color="auto"/>
        <w:left w:val="none" w:sz="0" w:space="0" w:color="auto"/>
        <w:bottom w:val="none" w:sz="0" w:space="0" w:color="auto"/>
        <w:right w:val="none" w:sz="0" w:space="0" w:color="auto"/>
      </w:divBdr>
    </w:div>
    <w:div w:id="1295718332">
      <w:bodyDiv w:val="1"/>
      <w:marLeft w:val="0"/>
      <w:marRight w:val="0"/>
      <w:marTop w:val="0"/>
      <w:marBottom w:val="0"/>
      <w:divBdr>
        <w:top w:val="none" w:sz="0" w:space="0" w:color="auto"/>
        <w:left w:val="none" w:sz="0" w:space="0" w:color="auto"/>
        <w:bottom w:val="none" w:sz="0" w:space="0" w:color="auto"/>
        <w:right w:val="none" w:sz="0" w:space="0" w:color="auto"/>
      </w:divBdr>
    </w:div>
    <w:div w:id="1318219660">
      <w:bodyDiv w:val="1"/>
      <w:marLeft w:val="0"/>
      <w:marRight w:val="0"/>
      <w:marTop w:val="0"/>
      <w:marBottom w:val="0"/>
      <w:divBdr>
        <w:top w:val="none" w:sz="0" w:space="0" w:color="auto"/>
        <w:left w:val="none" w:sz="0" w:space="0" w:color="auto"/>
        <w:bottom w:val="none" w:sz="0" w:space="0" w:color="auto"/>
        <w:right w:val="none" w:sz="0" w:space="0" w:color="auto"/>
      </w:divBdr>
    </w:div>
    <w:div w:id="1322730133">
      <w:bodyDiv w:val="1"/>
      <w:marLeft w:val="0"/>
      <w:marRight w:val="0"/>
      <w:marTop w:val="0"/>
      <w:marBottom w:val="0"/>
      <w:divBdr>
        <w:top w:val="none" w:sz="0" w:space="0" w:color="auto"/>
        <w:left w:val="none" w:sz="0" w:space="0" w:color="auto"/>
        <w:bottom w:val="none" w:sz="0" w:space="0" w:color="auto"/>
        <w:right w:val="none" w:sz="0" w:space="0" w:color="auto"/>
      </w:divBdr>
    </w:div>
    <w:div w:id="1338726733">
      <w:bodyDiv w:val="1"/>
      <w:marLeft w:val="0"/>
      <w:marRight w:val="0"/>
      <w:marTop w:val="0"/>
      <w:marBottom w:val="0"/>
      <w:divBdr>
        <w:top w:val="none" w:sz="0" w:space="0" w:color="auto"/>
        <w:left w:val="none" w:sz="0" w:space="0" w:color="auto"/>
        <w:bottom w:val="none" w:sz="0" w:space="0" w:color="auto"/>
        <w:right w:val="none" w:sz="0" w:space="0" w:color="auto"/>
      </w:divBdr>
    </w:div>
    <w:div w:id="1340737595">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69183116">
      <w:bodyDiv w:val="1"/>
      <w:marLeft w:val="0"/>
      <w:marRight w:val="0"/>
      <w:marTop w:val="0"/>
      <w:marBottom w:val="0"/>
      <w:divBdr>
        <w:top w:val="none" w:sz="0" w:space="0" w:color="auto"/>
        <w:left w:val="none" w:sz="0" w:space="0" w:color="auto"/>
        <w:bottom w:val="none" w:sz="0" w:space="0" w:color="auto"/>
        <w:right w:val="none" w:sz="0" w:space="0" w:color="auto"/>
      </w:divBdr>
    </w:div>
    <w:div w:id="1376196713">
      <w:bodyDiv w:val="1"/>
      <w:marLeft w:val="0"/>
      <w:marRight w:val="0"/>
      <w:marTop w:val="0"/>
      <w:marBottom w:val="0"/>
      <w:divBdr>
        <w:top w:val="none" w:sz="0" w:space="0" w:color="auto"/>
        <w:left w:val="none" w:sz="0" w:space="0" w:color="auto"/>
        <w:bottom w:val="none" w:sz="0" w:space="0" w:color="auto"/>
        <w:right w:val="none" w:sz="0" w:space="0" w:color="auto"/>
      </w:divBdr>
    </w:div>
    <w:div w:id="1381442074">
      <w:bodyDiv w:val="1"/>
      <w:marLeft w:val="0"/>
      <w:marRight w:val="0"/>
      <w:marTop w:val="0"/>
      <w:marBottom w:val="0"/>
      <w:divBdr>
        <w:top w:val="none" w:sz="0" w:space="0" w:color="auto"/>
        <w:left w:val="none" w:sz="0" w:space="0" w:color="auto"/>
        <w:bottom w:val="none" w:sz="0" w:space="0" w:color="auto"/>
        <w:right w:val="none" w:sz="0" w:space="0" w:color="auto"/>
      </w:divBdr>
    </w:div>
    <w:div w:id="1401715241">
      <w:bodyDiv w:val="1"/>
      <w:marLeft w:val="0"/>
      <w:marRight w:val="0"/>
      <w:marTop w:val="0"/>
      <w:marBottom w:val="0"/>
      <w:divBdr>
        <w:top w:val="none" w:sz="0" w:space="0" w:color="auto"/>
        <w:left w:val="none" w:sz="0" w:space="0" w:color="auto"/>
        <w:bottom w:val="none" w:sz="0" w:space="0" w:color="auto"/>
        <w:right w:val="none" w:sz="0" w:space="0" w:color="auto"/>
      </w:divBdr>
    </w:div>
    <w:div w:id="1429892073">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63304111">
      <w:bodyDiv w:val="1"/>
      <w:marLeft w:val="0"/>
      <w:marRight w:val="0"/>
      <w:marTop w:val="0"/>
      <w:marBottom w:val="0"/>
      <w:divBdr>
        <w:top w:val="none" w:sz="0" w:space="0" w:color="auto"/>
        <w:left w:val="none" w:sz="0" w:space="0" w:color="auto"/>
        <w:bottom w:val="none" w:sz="0" w:space="0" w:color="auto"/>
        <w:right w:val="none" w:sz="0" w:space="0" w:color="auto"/>
      </w:divBdr>
    </w:div>
    <w:div w:id="1468821061">
      <w:bodyDiv w:val="1"/>
      <w:marLeft w:val="0"/>
      <w:marRight w:val="0"/>
      <w:marTop w:val="0"/>
      <w:marBottom w:val="0"/>
      <w:divBdr>
        <w:top w:val="none" w:sz="0" w:space="0" w:color="auto"/>
        <w:left w:val="none" w:sz="0" w:space="0" w:color="auto"/>
        <w:bottom w:val="none" w:sz="0" w:space="0" w:color="auto"/>
        <w:right w:val="none" w:sz="0" w:space="0" w:color="auto"/>
      </w:divBdr>
    </w:div>
    <w:div w:id="1478180714">
      <w:bodyDiv w:val="1"/>
      <w:marLeft w:val="0"/>
      <w:marRight w:val="0"/>
      <w:marTop w:val="0"/>
      <w:marBottom w:val="0"/>
      <w:divBdr>
        <w:top w:val="none" w:sz="0" w:space="0" w:color="auto"/>
        <w:left w:val="none" w:sz="0" w:space="0" w:color="auto"/>
        <w:bottom w:val="none" w:sz="0" w:space="0" w:color="auto"/>
        <w:right w:val="none" w:sz="0" w:space="0" w:color="auto"/>
      </w:divBdr>
    </w:div>
    <w:div w:id="1485774180">
      <w:bodyDiv w:val="1"/>
      <w:marLeft w:val="0"/>
      <w:marRight w:val="0"/>
      <w:marTop w:val="0"/>
      <w:marBottom w:val="0"/>
      <w:divBdr>
        <w:top w:val="none" w:sz="0" w:space="0" w:color="auto"/>
        <w:left w:val="none" w:sz="0" w:space="0" w:color="auto"/>
        <w:bottom w:val="none" w:sz="0" w:space="0" w:color="auto"/>
        <w:right w:val="none" w:sz="0" w:space="0" w:color="auto"/>
      </w:divBdr>
    </w:div>
    <w:div w:id="1501310277">
      <w:bodyDiv w:val="1"/>
      <w:marLeft w:val="0"/>
      <w:marRight w:val="0"/>
      <w:marTop w:val="0"/>
      <w:marBottom w:val="0"/>
      <w:divBdr>
        <w:top w:val="none" w:sz="0" w:space="0" w:color="auto"/>
        <w:left w:val="none" w:sz="0" w:space="0" w:color="auto"/>
        <w:bottom w:val="none" w:sz="0" w:space="0" w:color="auto"/>
        <w:right w:val="none" w:sz="0" w:space="0" w:color="auto"/>
      </w:divBdr>
    </w:div>
    <w:div w:id="1526403310">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27864670">
      <w:bodyDiv w:val="1"/>
      <w:marLeft w:val="0"/>
      <w:marRight w:val="0"/>
      <w:marTop w:val="0"/>
      <w:marBottom w:val="0"/>
      <w:divBdr>
        <w:top w:val="none" w:sz="0" w:space="0" w:color="auto"/>
        <w:left w:val="none" w:sz="0" w:space="0" w:color="auto"/>
        <w:bottom w:val="none" w:sz="0" w:space="0" w:color="auto"/>
        <w:right w:val="none" w:sz="0" w:space="0" w:color="auto"/>
      </w:divBdr>
    </w:div>
    <w:div w:id="1528250367">
      <w:bodyDiv w:val="1"/>
      <w:marLeft w:val="0"/>
      <w:marRight w:val="0"/>
      <w:marTop w:val="0"/>
      <w:marBottom w:val="0"/>
      <w:divBdr>
        <w:top w:val="none" w:sz="0" w:space="0" w:color="auto"/>
        <w:left w:val="none" w:sz="0" w:space="0" w:color="auto"/>
        <w:bottom w:val="none" w:sz="0" w:space="0" w:color="auto"/>
        <w:right w:val="none" w:sz="0" w:space="0" w:color="auto"/>
      </w:divBdr>
    </w:div>
    <w:div w:id="1528256483">
      <w:bodyDiv w:val="1"/>
      <w:marLeft w:val="0"/>
      <w:marRight w:val="0"/>
      <w:marTop w:val="0"/>
      <w:marBottom w:val="0"/>
      <w:divBdr>
        <w:top w:val="none" w:sz="0" w:space="0" w:color="auto"/>
        <w:left w:val="none" w:sz="0" w:space="0" w:color="auto"/>
        <w:bottom w:val="none" w:sz="0" w:space="0" w:color="auto"/>
        <w:right w:val="none" w:sz="0" w:space="0" w:color="auto"/>
      </w:divBdr>
    </w:div>
    <w:div w:id="1538158875">
      <w:bodyDiv w:val="1"/>
      <w:marLeft w:val="0"/>
      <w:marRight w:val="0"/>
      <w:marTop w:val="0"/>
      <w:marBottom w:val="0"/>
      <w:divBdr>
        <w:top w:val="none" w:sz="0" w:space="0" w:color="auto"/>
        <w:left w:val="none" w:sz="0" w:space="0" w:color="auto"/>
        <w:bottom w:val="none" w:sz="0" w:space="0" w:color="auto"/>
        <w:right w:val="none" w:sz="0" w:space="0" w:color="auto"/>
      </w:divBdr>
    </w:div>
    <w:div w:id="1574318927">
      <w:bodyDiv w:val="1"/>
      <w:marLeft w:val="0"/>
      <w:marRight w:val="0"/>
      <w:marTop w:val="0"/>
      <w:marBottom w:val="0"/>
      <w:divBdr>
        <w:top w:val="none" w:sz="0" w:space="0" w:color="auto"/>
        <w:left w:val="none" w:sz="0" w:space="0" w:color="auto"/>
        <w:bottom w:val="none" w:sz="0" w:space="0" w:color="auto"/>
        <w:right w:val="none" w:sz="0" w:space="0" w:color="auto"/>
      </w:divBdr>
    </w:div>
    <w:div w:id="1660579597">
      <w:bodyDiv w:val="1"/>
      <w:marLeft w:val="0"/>
      <w:marRight w:val="0"/>
      <w:marTop w:val="0"/>
      <w:marBottom w:val="0"/>
      <w:divBdr>
        <w:top w:val="none" w:sz="0" w:space="0" w:color="auto"/>
        <w:left w:val="none" w:sz="0" w:space="0" w:color="auto"/>
        <w:bottom w:val="none" w:sz="0" w:space="0" w:color="auto"/>
        <w:right w:val="none" w:sz="0" w:space="0" w:color="auto"/>
      </w:divBdr>
    </w:div>
    <w:div w:id="1691446058">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04288746">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27290443">
      <w:bodyDiv w:val="1"/>
      <w:marLeft w:val="0"/>
      <w:marRight w:val="0"/>
      <w:marTop w:val="0"/>
      <w:marBottom w:val="0"/>
      <w:divBdr>
        <w:top w:val="none" w:sz="0" w:space="0" w:color="auto"/>
        <w:left w:val="none" w:sz="0" w:space="0" w:color="auto"/>
        <w:bottom w:val="none" w:sz="0" w:space="0" w:color="auto"/>
        <w:right w:val="none" w:sz="0" w:space="0" w:color="auto"/>
      </w:divBdr>
    </w:div>
    <w:div w:id="1760640267">
      <w:bodyDiv w:val="1"/>
      <w:marLeft w:val="0"/>
      <w:marRight w:val="0"/>
      <w:marTop w:val="0"/>
      <w:marBottom w:val="0"/>
      <w:divBdr>
        <w:top w:val="none" w:sz="0" w:space="0" w:color="auto"/>
        <w:left w:val="none" w:sz="0" w:space="0" w:color="auto"/>
        <w:bottom w:val="none" w:sz="0" w:space="0" w:color="auto"/>
        <w:right w:val="none" w:sz="0" w:space="0" w:color="auto"/>
      </w:divBdr>
    </w:div>
    <w:div w:id="1784300284">
      <w:bodyDiv w:val="1"/>
      <w:marLeft w:val="0"/>
      <w:marRight w:val="0"/>
      <w:marTop w:val="0"/>
      <w:marBottom w:val="0"/>
      <w:divBdr>
        <w:top w:val="none" w:sz="0" w:space="0" w:color="auto"/>
        <w:left w:val="none" w:sz="0" w:space="0" w:color="auto"/>
        <w:bottom w:val="none" w:sz="0" w:space="0" w:color="auto"/>
        <w:right w:val="none" w:sz="0" w:space="0" w:color="auto"/>
      </w:divBdr>
    </w:div>
    <w:div w:id="1795564042">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83398133">
      <w:bodyDiv w:val="1"/>
      <w:marLeft w:val="0"/>
      <w:marRight w:val="0"/>
      <w:marTop w:val="0"/>
      <w:marBottom w:val="0"/>
      <w:divBdr>
        <w:top w:val="none" w:sz="0" w:space="0" w:color="auto"/>
        <w:left w:val="none" w:sz="0" w:space="0" w:color="auto"/>
        <w:bottom w:val="none" w:sz="0" w:space="0" w:color="auto"/>
        <w:right w:val="none" w:sz="0" w:space="0" w:color="auto"/>
      </w:divBdr>
    </w:div>
    <w:div w:id="1890411878">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74214495">
      <w:bodyDiv w:val="1"/>
      <w:marLeft w:val="0"/>
      <w:marRight w:val="0"/>
      <w:marTop w:val="0"/>
      <w:marBottom w:val="0"/>
      <w:divBdr>
        <w:top w:val="none" w:sz="0" w:space="0" w:color="auto"/>
        <w:left w:val="none" w:sz="0" w:space="0" w:color="auto"/>
        <w:bottom w:val="none" w:sz="0" w:space="0" w:color="auto"/>
        <w:right w:val="none" w:sz="0" w:space="0" w:color="auto"/>
      </w:divBdr>
    </w:div>
    <w:div w:id="1985426052">
      <w:bodyDiv w:val="1"/>
      <w:marLeft w:val="0"/>
      <w:marRight w:val="0"/>
      <w:marTop w:val="0"/>
      <w:marBottom w:val="0"/>
      <w:divBdr>
        <w:top w:val="none" w:sz="0" w:space="0" w:color="auto"/>
        <w:left w:val="none" w:sz="0" w:space="0" w:color="auto"/>
        <w:bottom w:val="none" w:sz="0" w:space="0" w:color="auto"/>
        <w:right w:val="none" w:sz="0" w:space="0" w:color="auto"/>
      </w:divBdr>
    </w:div>
    <w:div w:id="2010911866">
      <w:bodyDiv w:val="1"/>
      <w:marLeft w:val="0"/>
      <w:marRight w:val="0"/>
      <w:marTop w:val="0"/>
      <w:marBottom w:val="0"/>
      <w:divBdr>
        <w:top w:val="none" w:sz="0" w:space="0" w:color="auto"/>
        <w:left w:val="none" w:sz="0" w:space="0" w:color="auto"/>
        <w:bottom w:val="none" w:sz="0" w:space="0" w:color="auto"/>
        <w:right w:val="none" w:sz="0" w:space="0" w:color="auto"/>
      </w:divBdr>
    </w:div>
    <w:div w:id="2016956845">
      <w:bodyDiv w:val="1"/>
      <w:marLeft w:val="0"/>
      <w:marRight w:val="0"/>
      <w:marTop w:val="0"/>
      <w:marBottom w:val="0"/>
      <w:divBdr>
        <w:top w:val="none" w:sz="0" w:space="0" w:color="auto"/>
        <w:left w:val="none" w:sz="0" w:space="0" w:color="auto"/>
        <w:bottom w:val="none" w:sz="0" w:space="0" w:color="auto"/>
        <w:right w:val="none" w:sz="0" w:space="0" w:color="auto"/>
      </w:divBdr>
    </w:div>
    <w:div w:id="2017415019">
      <w:bodyDiv w:val="1"/>
      <w:marLeft w:val="0"/>
      <w:marRight w:val="0"/>
      <w:marTop w:val="0"/>
      <w:marBottom w:val="0"/>
      <w:divBdr>
        <w:top w:val="none" w:sz="0" w:space="0" w:color="auto"/>
        <w:left w:val="none" w:sz="0" w:space="0" w:color="auto"/>
        <w:bottom w:val="none" w:sz="0" w:space="0" w:color="auto"/>
        <w:right w:val="none" w:sz="0" w:space="0" w:color="auto"/>
      </w:divBdr>
    </w:div>
    <w:div w:id="2018728897">
      <w:bodyDiv w:val="1"/>
      <w:marLeft w:val="0"/>
      <w:marRight w:val="0"/>
      <w:marTop w:val="0"/>
      <w:marBottom w:val="0"/>
      <w:divBdr>
        <w:top w:val="none" w:sz="0" w:space="0" w:color="auto"/>
        <w:left w:val="none" w:sz="0" w:space="0" w:color="auto"/>
        <w:bottom w:val="none" w:sz="0" w:space="0" w:color="auto"/>
        <w:right w:val="none" w:sz="0" w:space="0" w:color="auto"/>
      </w:divBdr>
    </w:div>
    <w:div w:id="2021471134">
      <w:bodyDiv w:val="1"/>
      <w:marLeft w:val="0"/>
      <w:marRight w:val="0"/>
      <w:marTop w:val="0"/>
      <w:marBottom w:val="0"/>
      <w:divBdr>
        <w:top w:val="none" w:sz="0" w:space="0" w:color="auto"/>
        <w:left w:val="none" w:sz="0" w:space="0" w:color="auto"/>
        <w:bottom w:val="none" w:sz="0" w:space="0" w:color="auto"/>
        <w:right w:val="none" w:sz="0" w:space="0" w:color="auto"/>
      </w:divBdr>
    </w:div>
    <w:div w:id="2026907541">
      <w:bodyDiv w:val="1"/>
      <w:marLeft w:val="0"/>
      <w:marRight w:val="0"/>
      <w:marTop w:val="0"/>
      <w:marBottom w:val="0"/>
      <w:divBdr>
        <w:top w:val="none" w:sz="0" w:space="0" w:color="auto"/>
        <w:left w:val="none" w:sz="0" w:space="0" w:color="auto"/>
        <w:bottom w:val="none" w:sz="0" w:space="0" w:color="auto"/>
        <w:right w:val="none" w:sz="0" w:space="0" w:color="auto"/>
      </w:divBdr>
    </w:div>
    <w:div w:id="2036155167">
      <w:bodyDiv w:val="1"/>
      <w:marLeft w:val="0"/>
      <w:marRight w:val="0"/>
      <w:marTop w:val="0"/>
      <w:marBottom w:val="0"/>
      <w:divBdr>
        <w:top w:val="none" w:sz="0" w:space="0" w:color="auto"/>
        <w:left w:val="none" w:sz="0" w:space="0" w:color="auto"/>
        <w:bottom w:val="none" w:sz="0" w:space="0" w:color="auto"/>
        <w:right w:val="none" w:sz="0" w:space="0" w:color="auto"/>
      </w:divBdr>
    </w:div>
    <w:div w:id="2067803199">
      <w:bodyDiv w:val="1"/>
      <w:marLeft w:val="0"/>
      <w:marRight w:val="0"/>
      <w:marTop w:val="0"/>
      <w:marBottom w:val="0"/>
      <w:divBdr>
        <w:top w:val="none" w:sz="0" w:space="0" w:color="auto"/>
        <w:left w:val="none" w:sz="0" w:space="0" w:color="auto"/>
        <w:bottom w:val="none" w:sz="0" w:space="0" w:color="auto"/>
        <w:right w:val="none" w:sz="0" w:space="0" w:color="auto"/>
      </w:divBdr>
    </w:div>
    <w:div w:id="2071610427">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078475278">
      <w:bodyDiv w:val="1"/>
      <w:marLeft w:val="0"/>
      <w:marRight w:val="0"/>
      <w:marTop w:val="0"/>
      <w:marBottom w:val="0"/>
      <w:divBdr>
        <w:top w:val="none" w:sz="0" w:space="0" w:color="auto"/>
        <w:left w:val="none" w:sz="0" w:space="0" w:color="auto"/>
        <w:bottom w:val="none" w:sz="0" w:space="0" w:color="auto"/>
        <w:right w:val="none" w:sz="0" w:space="0" w:color="auto"/>
      </w:divBdr>
    </w:div>
    <w:div w:id="2094012838">
      <w:bodyDiv w:val="1"/>
      <w:marLeft w:val="0"/>
      <w:marRight w:val="0"/>
      <w:marTop w:val="0"/>
      <w:marBottom w:val="0"/>
      <w:divBdr>
        <w:top w:val="none" w:sz="0" w:space="0" w:color="auto"/>
        <w:left w:val="none" w:sz="0" w:space="0" w:color="auto"/>
        <w:bottom w:val="none" w:sz="0" w:space="0" w:color="auto"/>
        <w:right w:val="none" w:sz="0" w:space="0" w:color="auto"/>
      </w:divBdr>
    </w:div>
    <w:div w:id="2097824519">
      <w:bodyDiv w:val="1"/>
      <w:marLeft w:val="0"/>
      <w:marRight w:val="0"/>
      <w:marTop w:val="0"/>
      <w:marBottom w:val="0"/>
      <w:divBdr>
        <w:top w:val="none" w:sz="0" w:space="0" w:color="auto"/>
        <w:left w:val="none" w:sz="0" w:space="0" w:color="auto"/>
        <w:bottom w:val="none" w:sz="0" w:space="0" w:color="auto"/>
        <w:right w:val="none" w:sz="0" w:space="0" w:color="auto"/>
      </w:divBdr>
    </w:div>
    <w:div w:id="2127235460">
      <w:bodyDiv w:val="1"/>
      <w:marLeft w:val="0"/>
      <w:marRight w:val="0"/>
      <w:marTop w:val="0"/>
      <w:marBottom w:val="0"/>
      <w:divBdr>
        <w:top w:val="none" w:sz="0" w:space="0" w:color="auto"/>
        <w:left w:val="none" w:sz="0" w:space="0" w:color="auto"/>
        <w:bottom w:val="none" w:sz="0" w:space="0" w:color="auto"/>
        <w:right w:val="none" w:sz="0" w:space="0" w:color="auto"/>
      </w:divBdr>
    </w:div>
    <w:div w:id="2137554483">
      <w:bodyDiv w:val="1"/>
      <w:marLeft w:val="0"/>
      <w:marRight w:val="0"/>
      <w:marTop w:val="0"/>
      <w:marBottom w:val="0"/>
      <w:divBdr>
        <w:top w:val="none" w:sz="0" w:space="0" w:color="auto"/>
        <w:left w:val="none" w:sz="0" w:space="0" w:color="auto"/>
        <w:bottom w:val="none" w:sz="0" w:space="0" w:color="auto"/>
        <w:right w:val="none" w:sz="0" w:space="0" w:color="auto"/>
      </w:divBdr>
    </w:div>
    <w:div w:id="2137750208">
      <w:bodyDiv w:val="1"/>
      <w:marLeft w:val="0"/>
      <w:marRight w:val="0"/>
      <w:marTop w:val="0"/>
      <w:marBottom w:val="0"/>
      <w:divBdr>
        <w:top w:val="none" w:sz="0" w:space="0" w:color="auto"/>
        <w:left w:val="none" w:sz="0" w:space="0" w:color="auto"/>
        <w:bottom w:val="none" w:sz="0" w:space="0" w:color="auto"/>
        <w:right w:val="none" w:sz="0" w:space="0" w:color="auto"/>
      </w:divBdr>
    </w:div>
    <w:div w:id="21393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cognition.webofscience.com/awards/highly-cited/2020/?utm_source=HCR&amp;utm_medium=recognition_page&amp;utm_campaign=2020"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Academic%20Ranking%20of%20World%20Universities%202021_1908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Academic%20Ranking%20of%20World%20Universities%202021_1908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2DC1-48A7-8269-F2F4C0F59D1F}"/>
              </c:ext>
            </c:extLst>
          </c:dPt>
          <c:dPt>
            <c:idx val="2"/>
            <c:invertIfNegative val="0"/>
            <c:bubble3D val="0"/>
            <c:spPr>
              <a:solidFill>
                <a:schemeClr val="accent4"/>
              </a:solidFill>
              <a:ln>
                <a:noFill/>
              </a:ln>
              <a:effectLst/>
            </c:spPr>
            <c:extLst>
              <c:ext xmlns:c16="http://schemas.microsoft.com/office/drawing/2014/chart" uri="{C3380CC4-5D6E-409C-BE32-E72D297353CC}">
                <c16:uniqueId val="{00000003-2DC1-48A7-8269-F2F4C0F59D1F}"/>
              </c:ext>
            </c:extLst>
          </c:dPt>
          <c:dPt>
            <c:idx val="3"/>
            <c:invertIfNegative val="0"/>
            <c:bubble3D val="0"/>
            <c:spPr>
              <a:solidFill>
                <a:schemeClr val="accent6"/>
              </a:solidFill>
              <a:ln>
                <a:noFill/>
              </a:ln>
              <a:effectLst/>
            </c:spPr>
            <c:extLst>
              <c:ext xmlns:c16="http://schemas.microsoft.com/office/drawing/2014/chart" uri="{C3380CC4-5D6E-409C-BE32-E72D297353CC}">
                <c16:uniqueId val="{00000005-2DC1-48A7-8269-F2F4C0F59D1F}"/>
              </c:ext>
            </c:extLst>
          </c:dPt>
          <c:dPt>
            <c:idx val="4"/>
            <c:invertIfNegative val="0"/>
            <c:bubble3D val="0"/>
            <c:spPr>
              <a:solidFill>
                <a:srgbClr val="7030A0"/>
              </a:solidFill>
              <a:ln>
                <a:noFill/>
              </a:ln>
              <a:effectLst/>
            </c:spPr>
            <c:extLst>
              <c:ext xmlns:c16="http://schemas.microsoft.com/office/drawing/2014/chart" uri="{C3380CC4-5D6E-409C-BE32-E72D297353CC}">
                <c16:uniqueId val="{00000007-2DC1-48A7-8269-F2F4C0F59D1F}"/>
              </c:ext>
            </c:extLst>
          </c:dPt>
          <c:dPt>
            <c:idx val="5"/>
            <c:invertIfNegative val="0"/>
            <c:bubble3D val="0"/>
            <c:spPr>
              <a:solidFill>
                <a:srgbClr val="FF0000"/>
              </a:solidFill>
              <a:ln>
                <a:noFill/>
              </a:ln>
              <a:effectLst/>
            </c:spPr>
            <c:extLst>
              <c:ext xmlns:c16="http://schemas.microsoft.com/office/drawing/2014/chart" uri="{C3380CC4-5D6E-409C-BE32-E72D297353CC}">
                <c16:uniqueId val="{00000009-2DC1-48A7-8269-F2F4C0F59D1F}"/>
              </c:ext>
            </c:extLst>
          </c:dPt>
          <c:dPt>
            <c:idx val="6"/>
            <c:invertIfNegative val="0"/>
            <c:bubble3D val="0"/>
            <c:spPr>
              <a:solidFill>
                <a:schemeClr val="accent2">
                  <a:lumMod val="50000"/>
                </a:schemeClr>
              </a:solidFill>
              <a:ln>
                <a:noFill/>
              </a:ln>
              <a:effectLst/>
            </c:spPr>
            <c:extLst>
              <c:ext xmlns:c16="http://schemas.microsoft.com/office/drawing/2014/chart" uri="{C3380CC4-5D6E-409C-BE32-E72D297353CC}">
                <c16:uniqueId val="{0000000B-2DC1-48A7-8269-F2F4C0F59D1F}"/>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Pais!$A$1:$A$7</c:f>
              <c:strCache>
                <c:ptCount val="7"/>
                <c:pt idx="0">
                  <c:v>España</c:v>
                </c:pt>
                <c:pt idx="1">
                  <c:v>Brasil</c:v>
                </c:pt>
                <c:pt idx="2">
                  <c:v>Portugal</c:v>
                </c:pt>
                <c:pt idx="3">
                  <c:v>Chile</c:v>
                </c:pt>
                <c:pt idx="4">
                  <c:v>Argentina</c:v>
                </c:pt>
                <c:pt idx="5">
                  <c:v>Colombia</c:v>
                </c:pt>
                <c:pt idx="6">
                  <c:v>México</c:v>
                </c:pt>
              </c:strCache>
            </c:strRef>
          </c:cat>
          <c:val>
            <c:numRef>
              <c:f>Pais!$B$1:$B$7</c:f>
              <c:numCache>
                <c:formatCode>General</c:formatCode>
                <c:ptCount val="7"/>
                <c:pt idx="0">
                  <c:v>39</c:v>
                </c:pt>
                <c:pt idx="1">
                  <c:v>21</c:v>
                </c:pt>
                <c:pt idx="2">
                  <c:v>6</c:v>
                </c:pt>
                <c:pt idx="3">
                  <c:v>4</c:v>
                </c:pt>
                <c:pt idx="4">
                  <c:v>3</c:v>
                </c:pt>
                <c:pt idx="5">
                  <c:v>2</c:v>
                </c:pt>
                <c:pt idx="6">
                  <c:v>2</c:v>
                </c:pt>
              </c:numCache>
            </c:numRef>
          </c:val>
          <c:extLst>
            <c:ext xmlns:c16="http://schemas.microsoft.com/office/drawing/2014/chart" uri="{C3380CC4-5D6E-409C-BE32-E72D297353CC}">
              <c16:uniqueId val="{0000000C-2DC1-48A7-8269-F2F4C0F59D1F}"/>
            </c:ext>
          </c:extLst>
        </c:ser>
        <c:dLbls>
          <c:dLblPos val="outEnd"/>
          <c:showLegendKey val="0"/>
          <c:showVal val="1"/>
          <c:showCatName val="0"/>
          <c:showSerName val="0"/>
          <c:showPercent val="0"/>
          <c:showBubbleSize val="0"/>
        </c:dLbls>
        <c:gapWidth val="219"/>
        <c:overlap val="-27"/>
        <c:axId val="1742422032"/>
        <c:axId val="1742423696"/>
      </c:barChart>
      <c:catAx>
        <c:axId val="174242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1742423696"/>
        <c:crosses val="autoZero"/>
        <c:auto val="1"/>
        <c:lblAlgn val="ctr"/>
        <c:lblOffset val="100"/>
        <c:noMultiLvlLbl val="0"/>
      </c:catAx>
      <c:valAx>
        <c:axId val="174242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742422032"/>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492182521786907E-2"/>
          <c:y val="5.7965417262899228E-2"/>
          <c:w val="0.94389520309686137"/>
          <c:h val="0.70347309573049033"/>
        </c:manualLayout>
      </c:layout>
      <c:lineChart>
        <c:grouping val="standard"/>
        <c:varyColors val="0"/>
        <c:ser>
          <c:idx val="0"/>
          <c:order val="0"/>
          <c:tx>
            <c:strRef>
              <c:f>'TOP 5'!$D$9</c:f>
              <c:strCache>
                <c:ptCount val="1"/>
                <c:pt idx="0">
                  <c:v>Universidad Nacional Autónoma de México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2811285690150365E-2"/>
                  <c:y val="-1.18578481685983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11-4C0F-8EF3-D9EF4A8EF50F}"/>
                </c:ext>
              </c:extLst>
            </c:dLbl>
            <c:dLbl>
              <c:idx val="1"/>
              <c:layout>
                <c:manualLayout>
                  <c:x val="-2.591653995607366E-2"/>
                  <c:y val="4.523063898649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11-4C0F-8EF3-D9EF4A8EF50F}"/>
                </c:ext>
              </c:extLst>
            </c:dLbl>
            <c:dLbl>
              <c:idx val="2"/>
              <c:layout>
                <c:manualLayout>
                  <c:x val="-2.0848116235850589E-2"/>
                  <c:y val="-4.9916839605325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11-4C0F-8EF3-D9EF4A8EF50F}"/>
                </c:ext>
              </c:extLst>
            </c:dLbl>
            <c:dLbl>
              <c:idx val="3"/>
              <c:layout>
                <c:manualLayout>
                  <c:x val="-1.4090217942220094E-2"/>
                  <c:y val="-5.46742135349161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11-4C0F-8EF3-D9EF4A8EF50F}"/>
                </c:ext>
              </c:extLst>
            </c:dLbl>
            <c:dLbl>
              <c:idx val="4"/>
              <c:layout>
                <c:manualLayout>
                  <c:x val="-5.6428450751816184E-3"/>
                  <c:y val="-1.18578481685983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11-4C0F-8EF3-D9EF4A8EF50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5"/>
              <c:pt idx="0">
                <c:v>2017</c:v>
              </c:pt>
              <c:pt idx="1">
                <c:v>2018</c:v>
              </c:pt>
              <c:pt idx="2">
                <c:v>2019</c:v>
              </c:pt>
              <c:pt idx="3">
                <c:v>2020</c:v>
              </c:pt>
              <c:pt idx="4">
                <c:v>2021</c:v>
              </c:pt>
            </c:numLit>
          </c:cat>
          <c:val>
            <c:numRef>
              <c:f>'TOP 5'!$Z$9:$AD$9</c:f>
              <c:numCache>
                <c:formatCode>General</c:formatCode>
                <c:ptCount val="5"/>
                <c:pt idx="0">
                  <c:v>246</c:v>
                </c:pt>
                <c:pt idx="1">
                  <c:v>235</c:v>
                </c:pt>
                <c:pt idx="2">
                  <c:v>231</c:v>
                </c:pt>
                <c:pt idx="3">
                  <c:v>247</c:v>
                </c:pt>
                <c:pt idx="4">
                  <c:v>253</c:v>
                </c:pt>
              </c:numCache>
            </c:numRef>
          </c:val>
          <c:smooth val="0"/>
          <c:extLst>
            <c:ext xmlns:c16="http://schemas.microsoft.com/office/drawing/2014/chart" uri="{C3380CC4-5D6E-409C-BE32-E72D297353CC}">
              <c16:uniqueId val="{00000005-CF11-4C0F-8EF3-D9EF4A8EF50F}"/>
            </c:ext>
          </c:extLst>
        </c:ser>
        <c:ser>
          <c:idx val="1"/>
          <c:order val="1"/>
          <c:tx>
            <c:strRef>
              <c:f>'TOP 5'!$D$10</c:f>
              <c:strCache>
                <c:ptCount val="1"/>
                <c:pt idx="0">
                  <c:v>Universidad Estatal Paulista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9569183983781059E-2"/>
                  <c:y val="-7.10047423900746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11-4C0F-8EF3-D9EF4A8EF50F}"/>
                </c:ext>
              </c:extLst>
            </c:dLbl>
            <c:dLbl>
              <c:idx val="1"/>
              <c:layout>
                <c:manualLayout>
                  <c:x val="-1.7469167089035374E-2"/>
                  <c:y val="-5.46742135349162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11-4C0F-8EF3-D9EF4A8EF50F}"/>
                </c:ext>
              </c:extLst>
            </c:dLbl>
            <c:dLbl>
              <c:idx val="3"/>
              <c:layout>
                <c:manualLayout>
                  <c:x val="-7.3323196485892885E-3"/>
                  <c:y val="4.5230638986491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11-4C0F-8EF3-D9EF4A8EF50F}"/>
                </c:ext>
              </c:extLst>
            </c:dLbl>
            <c:dLbl>
              <c:idx val="4"/>
              <c:layout>
                <c:manualLayout>
                  <c:x val="-5.6428450751816184E-3"/>
                  <c:y val="4.99880129160829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11-4C0F-8EF3-D9EF4A8EF50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2017</c:v>
              </c:pt>
              <c:pt idx="1">
                <c:v>2018</c:v>
              </c:pt>
              <c:pt idx="2">
                <c:v>2019</c:v>
              </c:pt>
              <c:pt idx="3">
                <c:v>2020</c:v>
              </c:pt>
              <c:pt idx="4">
                <c:v>2021</c:v>
              </c:pt>
            </c:numLit>
          </c:cat>
          <c:val>
            <c:numRef>
              <c:f>'TOP 5'!$Z$10:$AD$10</c:f>
              <c:numCache>
                <c:formatCode>General</c:formatCode>
                <c:ptCount val="5"/>
                <c:pt idx="0">
                  <c:v>365</c:v>
                </c:pt>
                <c:pt idx="1">
                  <c:v>371</c:v>
                </c:pt>
                <c:pt idx="2">
                  <c:v>392</c:v>
                </c:pt>
                <c:pt idx="3">
                  <c:v>339</c:v>
                </c:pt>
                <c:pt idx="4">
                  <c:v>355</c:v>
                </c:pt>
              </c:numCache>
            </c:numRef>
          </c:val>
          <c:smooth val="0"/>
          <c:extLst>
            <c:ext xmlns:c16="http://schemas.microsoft.com/office/drawing/2014/chart" uri="{C3380CC4-5D6E-409C-BE32-E72D297353CC}">
              <c16:uniqueId val="{0000000A-CF11-4C0F-8EF3-D9EF4A8EF50F}"/>
            </c:ext>
          </c:extLst>
        </c:ser>
        <c:ser>
          <c:idx val="2"/>
          <c:order val="2"/>
          <c:tx>
            <c:strRef>
              <c:f>'TOP 5'!$D$11</c:f>
              <c:strCache>
                <c:ptCount val="1"/>
                <c:pt idx="0">
                  <c:v>Universidad de Campinas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4.9569183983781059E-2"/>
                  <c:y val="-2.343100309416603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F11-4C0F-8EF3-D9EF4A8EF50F}"/>
                </c:ext>
              </c:extLst>
            </c:dLbl>
            <c:dLbl>
              <c:idx val="1"/>
              <c:layout>
                <c:manualLayout>
                  <c:x val="-1.9158641662443042E-2"/>
                  <c:y val="4.52306389864920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F11-4C0F-8EF3-D9EF4A8EF50F}"/>
                </c:ext>
              </c:extLst>
            </c:dLbl>
            <c:dLbl>
              <c:idx val="3"/>
              <c:layout>
                <c:manualLayout>
                  <c:x val="-3.9533705017739482E-3"/>
                  <c:y val="-3.08873438869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F11-4C0F-8EF3-D9EF4A8EF50F}"/>
                </c:ext>
              </c:extLst>
            </c:dLbl>
            <c:dLbl>
              <c:idx val="4"/>
              <c:layout>
                <c:manualLayout>
                  <c:x val="-2.2638959283662781E-3"/>
                  <c:y val="-3.08873438869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F11-4C0F-8EF3-D9EF4A8EF50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2017</c:v>
              </c:pt>
              <c:pt idx="1">
                <c:v>2018</c:v>
              </c:pt>
              <c:pt idx="2">
                <c:v>2019</c:v>
              </c:pt>
              <c:pt idx="3">
                <c:v>2020</c:v>
              </c:pt>
              <c:pt idx="4">
                <c:v>2021</c:v>
              </c:pt>
            </c:numLit>
          </c:cat>
          <c:val>
            <c:numRef>
              <c:f>'TOP 5'!$Z$11:$AD$11</c:f>
              <c:numCache>
                <c:formatCode>General</c:formatCode>
                <c:ptCount val="5"/>
                <c:pt idx="0">
                  <c:v>416</c:v>
                </c:pt>
                <c:pt idx="1">
                  <c:v>392</c:v>
                </c:pt>
                <c:pt idx="2">
                  <c:v>334</c:v>
                </c:pt>
                <c:pt idx="3">
                  <c:v>332</c:v>
                </c:pt>
                <c:pt idx="4">
                  <c:v>359</c:v>
                </c:pt>
              </c:numCache>
            </c:numRef>
          </c:val>
          <c:smooth val="0"/>
          <c:extLst>
            <c:ext xmlns:c16="http://schemas.microsoft.com/office/drawing/2014/chart" uri="{C3380CC4-5D6E-409C-BE32-E72D297353CC}">
              <c16:uniqueId val="{0000000F-CF11-4C0F-8EF3-D9EF4A8EF50F}"/>
            </c:ext>
          </c:extLst>
        </c:ser>
        <c:ser>
          <c:idx val="3"/>
          <c:order val="3"/>
          <c:tx>
            <c:strRef>
              <c:f>'TOP 5'!$D$12</c:f>
              <c:strCache>
                <c:ptCount val="1"/>
                <c:pt idx="0">
                  <c:v>Universidad de São Paulo</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4.6190234836965702E-2"/>
                  <c:y val="2.414273620174174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F11-4C0F-8EF3-D9EF4A8EF50F}"/>
                </c:ext>
              </c:extLst>
            </c:dLbl>
            <c:dLbl>
              <c:idx val="1"/>
              <c:layout>
                <c:manualLayout>
                  <c:x val="-2.2537590809258382E-2"/>
                  <c:y val="-4.9916839605325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F11-4C0F-8EF3-D9EF4A8EF50F}"/>
                </c:ext>
              </c:extLst>
            </c:dLbl>
            <c:dLbl>
              <c:idx val="2"/>
              <c:layout>
                <c:manualLayout>
                  <c:x val="-3.4363912823112013E-2"/>
                  <c:y val="3.0958517197719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F11-4C0F-8EF3-D9EF4A8EF50F}"/>
                </c:ext>
              </c:extLst>
            </c:dLbl>
            <c:dLbl>
              <c:idx val="3"/>
              <c:layout>
                <c:manualLayout>
                  <c:x val="-1.915864166244298E-2"/>
                  <c:y val="3.09585171977194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F11-4C0F-8EF3-D9EF4A8EF50F}"/>
                </c:ext>
              </c:extLst>
            </c:dLbl>
            <c:dLbl>
              <c:idx val="4"/>
              <c:layout>
                <c:manualLayout>
                  <c:x val="-5.6428450751816184E-3"/>
                  <c:y val="-2.343100309416516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F11-4C0F-8EF3-D9EF4A8EF50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2017</c:v>
              </c:pt>
              <c:pt idx="1">
                <c:v>2018</c:v>
              </c:pt>
              <c:pt idx="2">
                <c:v>2019</c:v>
              </c:pt>
              <c:pt idx="3">
                <c:v>2020</c:v>
              </c:pt>
              <c:pt idx="4">
                <c:v>2021</c:v>
              </c:pt>
            </c:numLit>
          </c:cat>
          <c:val>
            <c:numRef>
              <c:f>'TOP 5'!$Z$12:$AD$12</c:f>
              <c:numCache>
                <c:formatCode>General</c:formatCode>
                <c:ptCount val="5"/>
                <c:pt idx="0">
                  <c:v>167</c:v>
                </c:pt>
                <c:pt idx="1">
                  <c:v>164</c:v>
                </c:pt>
                <c:pt idx="2">
                  <c:v>128</c:v>
                </c:pt>
                <c:pt idx="3">
                  <c:v>127</c:v>
                </c:pt>
                <c:pt idx="4">
                  <c:v>118</c:v>
                </c:pt>
              </c:numCache>
            </c:numRef>
          </c:val>
          <c:smooth val="0"/>
          <c:extLst>
            <c:ext xmlns:c16="http://schemas.microsoft.com/office/drawing/2014/chart" uri="{C3380CC4-5D6E-409C-BE32-E72D297353CC}">
              <c16:uniqueId val="{00000015-CF11-4C0F-8EF3-D9EF4A8EF50F}"/>
            </c:ext>
          </c:extLst>
        </c:ser>
        <c:ser>
          <c:idx val="4"/>
          <c:order val="4"/>
          <c:tx>
            <c:strRef>
              <c:f>'TOP 5'!$D$13</c:f>
              <c:strCache>
                <c:ptCount val="1"/>
                <c:pt idx="0">
                  <c:v>Universidad de Buenos Aires</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4.6190234836965702E-2"/>
                  <c:y val="-2.343100309416603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F11-4C0F-8EF3-D9EF4A8EF50F}"/>
                </c:ext>
              </c:extLst>
            </c:dLbl>
            <c:dLbl>
              <c:idx val="1"/>
              <c:layout>
                <c:manualLayout>
                  <c:x val="-2.2537590809258382E-2"/>
                  <c:y val="-4.0402091746143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F11-4C0F-8EF3-D9EF4A8EF50F}"/>
                </c:ext>
              </c:extLst>
            </c:dLbl>
            <c:dLbl>
              <c:idx val="2"/>
              <c:layout>
                <c:manualLayout>
                  <c:x val="-2.9295489102889E-2"/>
                  <c:y val="4.523063898649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F11-4C0F-8EF3-D9EF4A8EF50F}"/>
                </c:ext>
              </c:extLst>
            </c:dLbl>
            <c:dLbl>
              <c:idx val="3"/>
              <c:layout>
                <c:manualLayout>
                  <c:x val="-1.5779692515627639E-2"/>
                  <c:y val="3.0958517197719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F11-4C0F-8EF3-D9EF4A8EF50F}"/>
                </c:ext>
              </c:extLst>
            </c:dLbl>
            <c:dLbl>
              <c:idx val="4"/>
              <c:layout>
                <c:manualLayout>
                  <c:x val="-5.6428450751816184E-3"/>
                  <c:y val="3.57158911273103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F11-4C0F-8EF3-D9EF4A8EF50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2017</c:v>
              </c:pt>
              <c:pt idx="1">
                <c:v>2018</c:v>
              </c:pt>
              <c:pt idx="2">
                <c:v>2019</c:v>
              </c:pt>
              <c:pt idx="3">
                <c:v>2020</c:v>
              </c:pt>
              <c:pt idx="4">
                <c:v>2021</c:v>
              </c:pt>
            </c:numLit>
          </c:cat>
          <c:val>
            <c:numRef>
              <c:f>'TOP 5'!$Z$13:$AD$13</c:f>
              <c:numCache>
                <c:formatCode>General</c:formatCode>
                <c:ptCount val="5"/>
                <c:pt idx="0">
                  <c:v>218</c:v>
                </c:pt>
                <c:pt idx="1">
                  <c:v>214</c:v>
                </c:pt>
                <c:pt idx="2">
                  <c:v>235</c:v>
                </c:pt>
                <c:pt idx="3">
                  <c:v>259</c:v>
                </c:pt>
                <c:pt idx="4">
                  <c:v>268</c:v>
                </c:pt>
              </c:numCache>
            </c:numRef>
          </c:val>
          <c:smooth val="0"/>
          <c:extLst>
            <c:ext xmlns:c16="http://schemas.microsoft.com/office/drawing/2014/chart" uri="{C3380CC4-5D6E-409C-BE32-E72D297353CC}">
              <c16:uniqueId val="{0000001B-CF11-4C0F-8EF3-D9EF4A8EF50F}"/>
            </c:ext>
          </c:extLst>
        </c:ser>
        <c:dLbls>
          <c:dLblPos val="t"/>
          <c:showLegendKey val="0"/>
          <c:showVal val="1"/>
          <c:showCatName val="0"/>
          <c:showSerName val="0"/>
          <c:showPercent val="0"/>
          <c:showBubbleSize val="0"/>
        </c:dLbls>
        <c:marker val="1"/>
        <c:smooth val="0"/>
        <c:axId val="1290262607"/>
        <c:axId val="1290265519"/>
      </c:lineChart>
      <c:catAx>
        <c:axId val="1290262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1290265519"/>
        <c:crosses val="max"/>
        <c:auto val="1"/>
        <c:lblAlgn val="ctr"/>
        <c:lblOffset val="100"/>
        <c:noMultiLvlLbl val="0"/>
      </c:catAx>
      <c:valAx>
        <c:axId val="1290265519"/>
        <c:scaling>
          <c:orientation val="maxMin"/>
          <c:max val="44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290262607"/>
        <c:crosses val="autoZero"/>
        <c:crossBetween val="between"/>
      </c:valAx>
      <c:spPr>
        <a:noFill/>
        <a:ln>
          <a:noFill/>
        </a:ln>
        <a:effectLst/>
      </c:spPr>
    </c:plotArea>
    <c:legend>
      <c:legendPos val="b"/>
      <c:layout>
        <c:manualLayout>
          <c:xMode val="edge"/>
          <c:yMode val="edge"/>
          <c:x val="4.1872363521716402E-2"/>
          <c:y val="0.85969230653970352"/>
          <c:w val="0.92977106954382849"/>
          <c:h val="0.1099432861092173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2594-625B-41F4-8947-6957B82B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14613</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revisor</cp:lastModifiedBy>
  <cp:revision>2</cp:revision>
  <cp:lastPrinted>2018-07-25T20:59:00Z</cp:lastPrinted>
  <dcterms:created xsi:type="dcterms:W3CDTF">2021-08-25T00:29:00Z</dcterms:created>
  <dcterms:modified xsi:type="dcterms:W3CDTF">2021-08-25T00:29:00Z</dcterms:modified>
</cp:coreProperties>
</file>